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A728" w14:textId="77777777" w:rsidR="00815D37" w:rsidRPr="0099030D" w:rsidRDefault="00815D37" w:rsidP="00272C11">
      <w:pPr>
        <w:tabs>
          <w:tab w:val="left" w:pos="2552"/>
        </w:tabs>
        <w:jc w:val="center"/>
        <w:rPr>
          <w:rFonts w:eastAsia="Calibri" w:cstheme="minorHAnsi"/>
          <w:b/>
          <w:bCs/>
          <w:sz w:val="36"/>
          <w:szCs w:val="36"/>
        </w:rPr>
      </w:pPr>
      <w:r w:rsidRPr="0099030D">
        <w:rPr>
          <w:rFonts w:eastAsia="Calibri" w:cstheme="minorHAnsi"/>
          <w:b/>
          <w:bCs/>
          <w:sz w:val="36"/>
          <w:szCs w:val="36"/>
        </w:rPr>
        <w:t>COMUNICATO STAMPA</w:t>
      </w:r>
    </w:p>
    <w:p w14:paraId="307860FB" w14:textId="77777777" w:rsidR="00A223B1" w:rsidRPr="0099030D" w:rsidRDefault="005E3287" w:rsidP="00815D37">
      <w:pPr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Hlk179274838"/>
      <w:r w:rsidRPr="0099030D">
        <w:rPr>
          <w:rFonts w:cstheme="minorHAnsi"/>
          <w:b/>
          <w:bCs/>
          <w:sz w:val="36"/>
          <w:szCs w:val="36"/>
        </w:rPr>
        <w:t>7</w:t>
      </w:r>
      <w:r w:rsidR="00A223B1" w:rsidRPr="0099030D">
        <w:rPr>
          <w:rFonts w:cstheme="minorHAnsi"/>
          <w:b/>
          <w:bCs/>
          <w:sz w:val="36"/>
          <w:szCs w:val="36"/>
        </w:rPr>
        <w:t xml:space="preserve">° RAPPORTO GIMBE </w:t>
      </w:r>
    </w:p>
    <w:p w14:paraId="152D408C" w14:textId="642CB27A" w:rsidR="00995B10" w:rsidRPr="0099030D" w:rsidRDefault="00995B10" w:rsidP="000E2F00">
      <w:pPr>
        <w:jc w:val="center"/>
        <w:rPr>
          <w:rFonts w:cstheme="minorHAnsi"/>
          <w:b/>
          <w:bCs/>
          <w:sz w:val="36"/>
          <w:szCs w:val="36"/>
        </w:rPr>
      </w:pPr>
      <w:r w:rsidRPr="0099030D">
        <w:rPr>
          <w:rFonts w:cstheme="minorHAnsi"/>
          <w:b/>
          <w:bCs/>
          <w:sz w:val="36"/>
          <w:szCs w:val="36"/>
        </w:rPr>
        <w:t xml:space="preserve">SANITÀ PUBBLICA </w:t>
      </w:r>
      <w:r w:rsidR="000E2F00" w:rsidRPr="0099030D">
        <w:rPr>
          <w:rFonts w:cstheme="minorHAnsi"/>
          <w:b/>
          <w:bCs/>
          <w:sz w:val="36"/>
          <w:szCs w:val="36"/>
        </w:rPr>
        <w:t>EMERGENZA</w:t>
      </w:r>
      <w:r w:rsidRPr="0099030D">
        <w:rPr>
          <w:rFonts w:cstheme="minorHAnsi"/>
          <w:b/>
          <w:bCs/>
          <w:sz w:val="36"/>
          <w:szCs w:val="36"/>
        </w:rPr>
        <w:t xml:space="preserve"> DEL PAESE</w:t>
      </w:r>
      <w:r w:rsidR="000E2F00" w:rsidRPr="0099030D">
        <w:rPr>
          <w:rFonts w:cstheme="minorHAnsi"/>
          <w:b/>
          <w:bCs/>
          <w:sz w:val="36"/>
          <w:szCs w:val="36"/>
        </w:rPr>
        <w:t>:</w:t>
      </w:r>
      <w:r w:rsidR="000E2F00" w:rsidRPr="0099030D">
        <w:rPr>
          <w:rFonts w:cstheme="minorHAnsi"/>
          <w:b/>
          <w:bCs/>
          <w:sz w:val="36"/>
          <w:szCs w:val="36"/>
        </w:rPr>
        <w:br/>
      </w:r>
      <w:r w:rsidR="00100355" w:rsidRPr="0099030D">
        <w:rPr>
          <w:rFonts w:cstheme="minorHAnsi"/>
          <w:b/>
          <w:bCs/>
          <w:sz w:val="36"/>
          <w:szCs w:val="36"/>
        </w:rPr>
        <w:t xml:space="preserve">GRAVE </w:t>
      </w:r>
      <w:r w:rsidR="000E2F00" w:rsidRPr="0099030D">
        <w:rPr>
          <w:rFonts w:cstheme="minorHAnsi"/>
          <w:b/>
          <w:bCs/>
          <w:sz w:val="36"/>
          <w:szCs w:val="36"/>
        </w:rPr>
        <w:t>CRISI DEL PERSONALE</w:t>
      </w:r>
      <w:r w:rsidR="00AA13A4">
        <w:rPr>
          <w:rFonts w:cstheme="minorHAnsi"/>
          <w:b/>
          <w:bCs/>
          <w:sz w:val="36"/>
          <w:szCs w:val="36"/>
        </w:rPr>
        <w:t>,</w:t>
      </w:r>
      <w:r w:rsidR="00100355" w:rsidRPr="0099030D">
        <w:rPr>
          <w:rFonts w:cstheme="minorHAnsi"/>
          <w:b/>
          <w:bCs/>
          <w:sz w:val="36"/>
          <w:szCs w:val="36"/>
        </w:rPr>
        <w:t xml:space="preserve"> </w:t>
      </w:r>
      <w:r w:rsidR="00AA13A4" w:rsidRPr="0099030D">
        <w:rPr>
          <w:rFonts w:cstheme="minorHAnsi"/>
          <w:b/>
          <w:bCs/>
          <w:sz w:val="36"/>
          <w:szCs w:val="36"/>
        </w:rPr>
        <w:t>FRATTURA NORD-SUD</w:t>
      </w:r>
      <w:r w:rsidR="00CA7DE2">
        <w:rPr>
          <w:rFonts w:cstheme="minorHAnsi"/>
          <w:b/>
          <w:bCs/>
          <w:sz w:val="36"/>
          <w:szCs w:val="36"/>
        </w:rPr>
        <w:t>,</w:t>
      </w:r>
      <w:r w:rsidR="00AA13A4">
        <w:rPr>
          <w:rFonts w:cstheme="minorHAnsi"/>
          <w:b/>
          <w:bCs/>
          <w:sz w:val="36"/>
          <w:szCs w:val="36"/>
        </w:rPr>
        <w:t xml:space="preserve"> </w:t>
      </w:r>
      <w:r w:rsidR="00AA13A4" w:rsidRPr="0099030D">
        <w:rPr>
          <w:rFonts w:cstheme="minorHAnsi"/>
          <w:b/>
          <w:bCs/>
          <w:sz w:val="36"/>
          <w:szCs w:val="36"/>
        </w:rPr>
        <w:t>BOOM DELLA SPESA DELLE FAMIGLIE (+10,3%)</w:t>
      </w:r>
      <w:r w:rsidR="00AE2936">
        <w:rPr>
          <w:rFonts w:cstheme="minorHAnsi"/>
          <w:b/>
          <w:bCs/>
          <w:sz w:val="36"/>
          <w:szCs w:val="36"/>
        </w:rPr>
        <w:t xml:space="preserve">, </w:t>
      </w:r>
      <w:r w:rsidR="00AA13A4" w:rsidRPr="0099030D">
        <w:rPr>
          <w:rFonts w:cstheme="minorHAnsi"/>
          <w:b/>
          <w:bCs/>
          <w:sz w:val="36"/>
          <w:szCs w:val="36"/>
        </w:rPr>
        <w:t>4,5 MILIONI DI PERSONE RINUNCIANO ALLE CURE</w:t>
      </w:r>
      <w:r w:rsidR="00AE2936">
        <w:rPr>
          <w:rFonts w:cstheme="minorHAnsi"/>
          <w:b/>
          <w:bCs/>
          <w:sz w:val="36"/>
          <w:szCs w:val="36"/>
        </w:rPr>
        <w:t>, CROLLA LA SPESA PER LA PREVENZIONE (-</w:t>
      </w:r>
      <w:r w:rsidR="00541FC3">
        <w:rPr>
          <w:rFonts w:cstheme="minorHAnsi"/>
          <w:b/>
          <w:bCs/>
          <w:sz w:val="36"/>
          <w:szCs w:val="36"/>
        </w:rPr>
        <w:t>18,6</w:t>
      </w:r>
      <w:r w:rsidR="00AE2936">
        <w:rPr>
          <w:rFonts w:cstheme="minorHAnsi"/>
          <w:b/>
          <w:bCs/>
          <w:sz w:val="36"/>
          <w:szCs w:val="36"/>
        </w:rPr>
        <w:t>%)</w:t>
      </w:r>
      <w:r w:rsidR="008C5370">
        <w:rPr>
          <w:rFonts w:cstheme="minorHAnsi"/>
          <w:b/>
          <w:bCs/>
          <w:sz w:val="36"/>
          <w:szCs w:val="36"/>
        </w:rPr>
        <w:t>.</w:t>
      </w:r>
      <w:r w:rsidR="00AA13A4" w:rsidRPr="0099030D">
        <w:rPr>
          <w:rFonts w:cstheme="minorHAnsi"/>
          <w:b/>
          <w:bCs/>
          <w:sz w:val="36"/>
          <w:szCs w:val="36"/>
        </w:rPr>
        <w:br/>
      </w:r>
      <w:r w:rsidR="000E2F00" w:rsidRPr="0099030D">
        <w:rPr>
          <w:rFonts w:cstheme="minorHAnsi"/>
          <w:b/>
          <w:bCs/>
          <w:sz w:val="36"/>
          <w:szCs w:val="36"/>
        </w:rPr>
        <w:t xml:space="preserve">SPESA SANITARIA PUBBLICA: GAP </w:t>
      </w:r>
      <w:r w:rsidR="005310EC" w:rsidRPr="0099030D">
        <w:rPr>
          <w:rFonts w:cstheme="minorHAnsi"/>
          <w:b/>
          <w:bCs/>
          <w:sz w:val="36"/>
          <w:szCs w:val="36"/>
        </w:rPr>
        <w:t xml:space="preserve">DI € 52,4 MILIARDI </w:t>
      </w:r>
      <w:r w:rsidR="000E2F00" w:rsidRPr="0099030D">
        <w:rPr>
          <w:rFonts w:cstheme="minorHAnsi"/>
          <w:b/>
          <w:bCs/>
          <w:sz w:val="36"/>
          <w:szCs w:val="36"/>
        </w:rPr>
        <w:t>CON</w:t>
      </w:r>
      <w:r w:rsidR="00831585">
        <w:rPr>
          <w:rFonts w:cstheme="minorHAnsi"/>
          <w:b/>
          <w:bCs/>
          <w:sz w:val="36"/>
          <w:szCs w:val="36"/>
        </w:rPr>
        <w:t xml:space="preserve"> LA MEDIA DEI</w:t>
      </w:r>
      <w:r w:rsidR="000E2F00" w:rsidRPr="0099030D">
        <w:rPr>
          <w:rFonts w:cstheme="minorHAnsi"/>
          <w:b/>
          <w:bCs/>
          <w:sz w:val="36"/>
          <w:szCs w:val="36"/>
        </w:rPr>
        <w:t xml:space="preserve"> PAESI UE</w:t>
      </w:r>
      <w:r w:rsidR="00100355" w:rsidRPr="0099030D">
        <w:rPr>
          <w:rFonts w:cstheme="minorHAnsi"/>
          <w:b/>
          <w:bCs/>
          <w:sz w:val="36"/>
          <w:szCs w:val="36"/>
        </w:rPr>
        <w:t xml:space="preserve">, MA </w:t>
      </w:r>
      <w:r w:rsidR="00AA13A4">
        <w:rPr>
          <w:rFonts w:cstheme="minorHAnsi"/>
          <w:b/>
          <w:bCs/>
          <w:sz w:val="36"/>
          <w:szCs w:val="36"/>
        </w:rPr>
        <w:t xml:space="preserve">LA </w:t>
      </w:r>
      <w:r w:rsidR="00C77FF0">
        <w:rPr>
          <w:rFonts w:cstheme="minorHAnsi"/>
          <w:b/>
          <w:bCs/>
          <w:sz w:val="36"/>
          <w:szCs w:val="36"/>
        </w:rPr>
        <w:t xml:space="preserve">PERCENTUALE </w:t>
      </w:r>
      <w:r w:rsidR="00AA13A4">
        <w:rPr>
          <w:rFonts w:cstheme="minorHAnsi"/>
          <w:b/>
          <w:bCs/>
          <w:sz w:val="36"/>
          <w:szCs w:val="36"/>
        </w:rPr>
        <w:t xml:space="preserve">DI </w:t>
      </w:r>
      <w:r w:rsidR="00100355" w:rsidRPr="0099030D">
        <w:rPr>
          <w:rFonts w:cstheme="minorHAnsi"/>
          <w:b/>
          <w:bCs/>
          <w:sz w:val="36"/>
          <w:szCs w:val="36"/>
        </w:rPr>
        <w:t xml:space="preserve">PIL </w:t>
      </w:r>
      <w:r w:rsidR="00C77FF0">
        <w:rPr>
          <w:rFonts w:cstheme="minorHAnsi"/>
          <w:b/>
          <w:bCs/>
          <w:sz w:val="36"/>
          <w:szCs w:val="36"/>
        </w:rPr>
        <w:t xml:space="preserve">SCENDE </w:t>
      </w:r>
      <w:r w:rsidR="00100355" w:rsidRPr="0099030D">
        <w:rPr>
          <w:rFonts w:cstheme="minorHAnsi"/>
          <w:b/>
          <w:bCs/>
          <w:sz w:val="36"/>
          <w:szCs w:val="36"/>
        </w:rPr>
        <w:t>AL 6,2%</w:t>
      </w:r>
      <w:r w:rsidR="00731D2D">
        <w:rPr>
          <w:rFonts w:cstheme="minorHAnsi"/>
          <w:b/>
          <w:bCs/>
          <w:sz w:val="36"/>
          <w:szCs w:val="36"/>
        </w:rPr>
        <w:t xml:space="preserve"> </w:t>
      </w:r>
      <w:r w:rsidR="00C77FF0">
        <w:rPr>
          <w:rFonts w:cstheme="minorHAnsi"/>
          <w:b/>
          <w:bCs/>
          <w:sz w:val="36"/>
          <w:szCs w:val="36"/>
        </w:rPr>
        <w:t>DAL 2026</w:t>
      </w:r>
      <w:r w:rsidR="008B73B4">
        <w:rPr>
          <w:rFonts w:cstheme="minorHAnsi"/>
          <w:b/>
          <w:bCs/>
          <w:sz w:val="36"/>
          <w:szCs w:val="36"/>
        </w:rPr>
        <w:t>.</w:t>
      </w:r>
      <w:r w:rsidR="000E2F00" w:rsidRPr="0099030D">
        <w:rPr>
          <w:rFonts w:cstheme="minorHAnsi"/>
          <w:b/>
          <w:bCs/>
          <w:sz w:val="36"/>
          <w:szCs w:val="36"/>
        </w:rPr>
        <w:br/>
        <w:t>DA</w:t>
      </w:r>
      <w:r w:rsidR="00CA7DE2">
        <w:rPr>
          <w:rFonts w:cstheme="minorHAnsi"/>
          <w:b/>
          <w:bCs/>
          <w:sz w:val="36"/>
          <w:szCs w:val="36"/>
        </w:rPr>
        <w:t xml:space="preserve"> </w:t>
      </w:r>
      <w:r w:rsidR="000E2F00" w:rsidRPr="0099030D">
        <w:rPr>
          <w:rFonts w:cstheme="minorHAnsi"/>
          <w:b/>
          <w:bCs/>
          <w:sz w:val="36"/>
          <w:szCs w:val="36"/>
        </w:rPr>
        <w:t xml:space="preserve">GIMBE </w:t>
      </w:r>
      <w:r w:rsidR="00CA7DE2">
        <w:rPr>
          <w:rFonts w:cstheme="minorHAnsi"/>
          <w:b/>
          <w:bCs/>
          <w:sz w:val="36"/>
          <w:szCs w:val="36"/>
        </w:rPr>
        <w:t>IL PIANO DI</w:t>
      </w:r>
      <w:r w:rsidR="000E2F00" w:rsidRPr="0099030D">
        <w:rPr>
          <w:rFonts w:cstheme="minorHAnsi"/>
          <w:b/>
          <w:bCs/>
          <w:sz w:val="36"/>
          <w:szCs w:val="36"/>
        </w:rPr>
        <w:t xml:space="preserve"> RILANCI</w:t>
      </w:r>
      <w:r w:rsidR="00CA7DE2">
        <w:rPr>
          <w:rFonts w:cstheme="minorHAnsi"/>
          <w:b/>
          <w:bCs/>
          <w:sz w:val="36"/>
          <w:szCs w:val="36"/>
        </w:rPr>
        <w:t>O</w:t>
      </w:r>
      <w:r w:rsidR="000E2F00" w:rsidRPr="0099030D">
        <w:rPr>
          <w:rFonts w:cstheme="minorHAnsi"/>
          <w:b/>
          <w:bCs/>
          <w:sz w:val="36"/>
          <w:szCs w:val="36"/>
        </w:rPr>
        <w:t xml:space="preserve"> </w:t>
      </w:r>
      <w:r w:rsidR="00CA7DE2">
        <w:rPr>
          <w:rFonts w:cstheme="minorHAnsi"/>
          <w:b/>
          <w:bCs/>
          <w:sz w:val="36"/>
          <w:szCs w:val="36"/>
        </w:rPr>
        <w:t xml:space="preserve">DEL </w:t>
      </w:r>
      <w:r w:rsidRPr="0099030D">
        <w:rPr>
          <w:rFonts w:cstheme="minorHAnsi"/>
          <w:b/>
          <w:bCs/>
          <w:sz w:val="36"/>
          <w:szCs w:val="36"/>
        </w:rPr>
        <w:t>SERVIZIO SANITARIO NAZIONALE</w:t>
      </w:r>
      <w:r w:rsidR="00CA7DE2">
        <w:rPr>
          <w:rFonts w:cstheme="minorHAnsi"/>
          <w:b/>
          <w:bCs/>
          <w:sz w:val="36"/>
          <w:szCs w:val="36"/>
        </w:rPr>
        <w:t xml:space="preserve"> E LA RICHIESTA DI UN PATTO POLITICO E SOCIALE</w:t>
      </w:r>
      <w:bookmarkEnd w:id="0"/>
    </w:p>
    <w:p w14:paraId="0411F9A7" w14:textId="77777777" w:rsidR="00815D37" w:rsidRPr="0099030D" w:rsidRDefault="00230DD3" w:rsidP="00815D37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9030D">
        <w:rPr>
          <w:rFonts w:eastAsia="Calibri" w:cstheme="minorHAnsi"/>
          <w:b/>
          <w:bCs/>
          <w:sz w:val="24"/>
          <w:szCs w:val="24"/>
        </w:rPr>
        <w:t xml:space="preserve">8 </w:t>
      </w:r>
      <w:r w:rsidR="00815D37" w:rsidRPr="0099030D">
        <w:rPr>
          <w:rFonts w:eastAsia="Calibri" w:cstheme="minorHAnsi"/>
          <w:b/>
          <w:bCs/>
          <w:sz w:val="24"/>
          <w:szCs w:val="24"/>
        </w:rPr>
        <w:t>ottobre 202</w:t>
      </w:r>
      <w:r w:rsidRPr="0099030D">
        <w:rPr>
          <w:rFonts w:eastAsia="Calibri" w:cstheme="minorHAnsi"/>
          <w:b/>
          <w:bCs/>
          <w:sz w:val="24"/>
          <w:szCs w:val="24"/>
        </w:rPr>
        <w:t>4</w:t>
      </w:r>
      <w:r w:rsidR="00815D37" w:rsidRPr="0099030D">
        <w:rPr>
          <w:rFonts w:eastAsia="Calibri" w:cstheme="minorHAnsi"/>
          <w:b/>
          <w:bCs/>
          <w:sz w:val="24"/>
          <w:szCs w:val="24"/>
        </w:rPr>
        <w:t xml:space="preserve"> - Fondazione GIMBE, Roma</w:t>
      </w:r>
    </w:p>
    <w:p w14:paraId="066306E0" w14:textId="3FADE1A7" w:rsidR="00CD1D37" w:rsidRPr="002A4D4A" w:rsidRDefault="002A4D4A" w:rsidP="002A4D4A">
      <w:pPr>
        <w:jc w:val="both"/>
        <w:rPr>
          <w:rFonts w:eastAsia="Calibri" w:cstheme="minorHAnsi"/>
          <w:bCs/>
          <w:i/>
          <w:iCs/>
        </w:rPr>
      </w:pPr>
      <w:r w:rsidRPr="0099030D">
        <w:rPr>
          <w:rFonts w:cstheme="minorHAnsi"/>
        </w:rPr>
        <w:t>«</w:t>
      </w:r>
      <w:r w:rsidRPr="002A4D4A">
        <w:rPr>
          <w:rFonts w:eastAsia="Calibri" w:cstheme="minorHAnsi"/>
          <w:bCs/>
          <w:i/>
          <w:iCs/>
        </w:rPr>
        <w:t>Il Rapporto che la Fondazione GIMBE pubblica periodicamente rappresenta un prezioso spaccato di analisi sulle condizioni e i problemi della sanità in Italia.</w:t>
      </w:r>
      <w:r>
        <w:rPr>
          <w:rFonts w:eastAsia="Calibri" w:cstheme="minorHAnsi"/>
          <w:bCs/>
          <w:i/>
          <w:iCs/>
        </w:rPr>
        <w:t xml:space="preserve"> </w:t>
      </w:r>
      <w:r w:rsidRPr="002A4D4A">
        <w:rPr>
          <w:rFonts w:eastAsia="Calibri" w:cstheme="minorHAnsi"/>
          <w:bCs/>
          <w:i/>
          <w:iCs/>
        </w:rPr>
        <w:t>L’edizione di quest’anno, dedicata alle criticità del sistema sanitario, acquisisce un interesse particolare, ponendosi come sollecitazione all’applicazione dei principi di universalità e uguaglianza sanciti dalla Costituzione.</w:t>
      </w:r>
      <w:r>
        <w:rPr>
          <w:rFonts w:eastAsia="Calibri" w:cstheme="minorHAnsi"/>
          <w:bCs/>
          <w:i/>
          <w:iCs/>
        </w:rPr>
        <w:t xml:space="preserve"> </w:t>
      </w:r>
      <w:r w:rsidRPr="002A4D4A">
        <w:rPr>
          <w:rFonts w:eastAsia="Calibri" w:cstheme="minorHAnsi"/>
          <w:bCs/>
          <w:i/>
          <w:iCs/>
        </w:rPr>
        <w:t>Il Servizio Sanitario Nazionale costituisce, infatti, una risorsa preziosa ed è pilastro essenziale per la tutela del diritto alla salute, nella sua duplice accezione di fondamentale diritto dell’individuo e interesse della collettività.</w:t>
      </w:r>
      <w:r>
        <w:rPr>
          <w:rFonts w:eastAsia="Calibri" w:cstheme="minorHAnsi"/>
          <w:bCs/>
          <w:i/>
          <w:iCs/>
        </w:rPr>
        <w:t xml:space="preserve"> </w:t>
      </w:r>
      <w:r w:rsidRPr="002A4D4A">
        <w:rPr>
          <w:rFonts w:eastAsia="Calibri" w:cstheme="minorHAnsi"/>
          <w:bCs/>
          <w:i/>
          <w:iCs/>
        </w:rPr>
        <w:t>La sua efficienza è frutto, naturalmente, delle risorse dedicate e dei modelli organizzativi applicati, responsabilità, quest’ultima, affidata alle Regioni.</w:t>
      </w:r>
      <w:r>
        <w:rPr>
          <w:rFonts w:eastAsia="Calibri" w:cstheme="minorHAnsi"/>
          <w:bCs/>
          <w:i/>
          <w:iCs/>
        </w:rPr>
        <w:t xml:space="preserve"> </w:t>
      </w:r>
      <w:r w:rsidRPr="002A4D4A">
        <w:rPr>
          <w:rFonts w:eastAsia="Calibri" w:cstheme="minorHAnsi"/>
          <w:bCs/>
          <w:i/>
          <w:iCs/>
        </w:rPr>
        <w:t>Per garantire livelli sempre più elevati di qualità nella prevenzione, nella cura e nell’assistenza, è necessaria la costante adozione di misure sinergiche da parte di tutti gli attori coinvolti</w:t>
      </w:r>
      <w:r w:rsidRPr="0099030D">
        <w:rPr>
          <w:rFonts w:cstheme="minorHAnsi"/>
        </w:rPr>
        <w:t>»</w:t>
      </w:r>
      <w:r w:rsidR="007928E3">
        <w:rPr>
          <w:rFonts w:cstheme="minorHAnsi"/>
        </w:rPr>
        <w:t>.</w:t>
      </w:r>
      <w:r>
        <w:rPr>
          <w:rFonts w:eastAsia="Calibri" w:cstheme="minorHAnsi"/>
          <w:bCs/>
          <w:i/>
          <w:iCs/>
        </w:rPr>
        <w:t xml:space="preserve"> </w:t>
      </w:r>
      <w:r w:rsidR="00B945EB" w:rsidRPr="00B945EB">
        <w:rPr>
          <w:rFonts w:eastAsia="Calibri" w:cstheme="minorHAnsi"/>
          <w:bCs/>
          <w:iCs/>
        </w:rPr>
        <w:t xml:space="preserve">Lo afferma il </w:t>
      </w:r>
      <w:r w:rsidR="00375297">
        <w:rPr>
          <w:rFonts w:eastAsia="Calibri" w:cstheme="minorHAnsi"/>
          <w:bCs/>
          <w:iCs/>
        </w:rPr>
        <w:t>P</w:t>
      </w:r>
      <w:r w:rsidR="00B945EB" w:rsidRPr="00B945EB">
        <w:rPr>
          <w:rFonts w:eastAsia="Calibri" w:cstheme="minorHAnsi"/>
          <w:bCs/>
          <w:iCs/>
        </w:rPr>
        <w:t xml:space="preserve">residente della Repubblica Sergio Mattarella </w:t>
      </w:r>
      <w:r w:rsidR="00CD1D37">
        <w:rPr>
          <w:rFonts w:eastAsia="Calibri" w:cstheme="minorHAnsi"/>
          <w:bCs/>
          <w:iCs/>
        </w:rPr>
        <w:t xml:space="preserve">nel </w:t>
      </w:r>
      <w:r w:rsidR="00B945EB" w:rsidRPr="00B945EB">
        <w:rPr>
          <w:rFonts w:eastAsia="Calibri" w:cstheme="minorHAnsi"/>
          <w:bCs/>
          <w:iCs/>
        </w:rPr>
        <w:t xml:space="preserve">messaggio inviato in occasione della presentazione - presso la Sala Capitolare del Senato della Repubblica - del </w:t>
      </w:r>
      <w:r>
        <w:rPr>
          <w:rFonts w:eastAsia="Calibri" w:cstheme="minorHAnsi"/>
          <w:bCs/>
          <w:iCs/>
        </w:rPr>
        <w:t xml:space="preserve">7° </w:t>
      </w:r>
      <w:r w:rsidR="00B945EB" w:rsidRPr="00B945EB">
        <w:rPr>
          <w:rFonts w:eastAsia="Calibri" w:cstheme="minorHAnsi"/>
          <w:bCs/>
          <w:iCs/>
        </w:rPr>
        <w:t>Rapporto sul Servizio Sanitario Nazionale (SSN).</w:t>
      </w:r>
    </w:p>
    <w:p w14:paraId="579F61E5" w14:textId="516E0FDA" w:rsidR="00B26735" w:rsidRPr="00FE3FD5" w:rsidRDefault="000830EF" w:rsidP="00272C11">
      <w:pPr>
        <w:jc w:val="both"/>
        <w:rPr>
          <w:rFonts w:eastAsia="Calibri" w:cstheme="minorHAnsi"/>
          <w:bCs/>
        </w:rPr>
      </w:pPr>
      <w:r w:rsidRPr="0099030D">
        <w:rPr>
          <w:rFonts w:cstheme="minorHAnsi"/>
        </w:rPr>
        <w:t>«</w:t>
      </w:r>
      <w:r w:rsidR="006E14EC">
        <w:rPr>
          <w:rFonts w:cstheme="minorHAnsi"/>
        </w:rPr>
        <w:t>D</w:t>
      </w:r>
      <w:r w:rsidRPr="0099030D">
        <w:rPr>
          <w:rFonts w:cstheme="minorHAnsi"/>
        </w:rPr>
        <w:t>ati</w:t>
      </w:r>
      <w:r w:rsidR="00276756">
        <w:rPr>
          <w:rFonts w:cstheme="minorHAnsi"/>
        </w:rPr>
        <w:t>, narrative e sondaggi di popolazione</w:t>
      </w:r>
      <w:r w:rsidR="00FE3FD5">
        <w:rPr>
          <w:rFonts w:cstheme="minorHAnsi"/>
        </w:rPr>
        <w:t xml:space="preserve"> </w:t>
      </w:r>
      <w:r w:rsidR="00FE3FD5">
        <w:rPr>
          <w:rFonts w:eastAsia="Calibri" w:cstheme="minorHAnsi"/>
          <w:bCs/>
        </w:rPr>
        <w:t xml:space="preserve">– </w:t>
      </w:r>
      <w:r w:rsidR="00276756" w:rsidRPr="0099030D">
        <w:rPr>
          <w:rFonts w:cstheme="minorHAnsi"/>
        </w:rPr>
        <w:t>esordisce Nino Cartabellotta, presidente della Fondazione GIMBE</w:t>
      </w:r>
      <w:r w:rsidR="00276756">
        <w:rPr>
          <w:rFonts w:cstheme="minorHAnsi"/>
        </w:rPr>
        <w:t xml:space="preserve"> </w:t>
      </w:r>
      <w:r w:rsidR="00FE3FD5">
        <w:rPr>
          <w:rFonts w:eastAsia="Calibri" w:cstheme="minorHAnsi"/>
          <w:bCs/>
        </w:rPr>
        <w:t>–</w:t>
      </w:r>
      <w:r w:rsidR="00FE3FD5">
        <w:rPr>
          <w:rFonts w:cstheme="minorHAnsi"/>
        </w:rPr>
        <w:t xml:space="preserve"> </w:t>
      </w:r>
      <w:r w:rsidRPr="0099030D">
        <w:rPr>
          <w:rFonts w:cstheme="minorHAnsi"/>
        </w:rPr>
        <w:t xml:space="preserve">dimostrano che </w:t>
      </w:r>
      <w:r w:rsidR="00FE3FD5">
        <w:rPr>
          <w:rFonts w:cstheme="minorHAnsi"/>
        </w:rPr>
        <w:t xml:space="preserve">oggi </w:t>
      </w:r>
      <w:r w:rsidR="00276756">
        <w:rPr>
          <w:rFonts w:eastAsia="Calibri" w:cstheme="minorHAnsi"/>
          <w:bCs/>
        </w:rPr>
        <w:t>la vera emergenza del Paese</w:t>
      </w:r>
      <w:r w:rsidR="00276756">
        <w:rPr>
          <w:rFonts w:cstheme="minorHAnsi"/>
        </w:rPr>
        <w:t xml:space="preserve"> è il </w:t>
      </w:r>
      <w:r w:rsidRPr="0099030D">
        <w:rPr>
          <w:rFonts w:eastAsia="Calibri" w:cstheme="minorHAnsi"/>
          <w:bCs/>
        </w:rPr>
        <w:t>Servizio Sanitario Nazionale</w:t>
      </w:r>
      <w:r w:rsidRPr="0099030D">
        <w:rPr>
          <w:rFonts w:cstheme="minorHAnsi"/>
        </w:rPr>
        <w:t>»</w:t>
      </w:r>
      <w:r w:rsidR="00276756">
        <w:rPr>
          <w:rFonts w:cstheme="minorHAnsi"/>
        </w:rPr>
        <w:t xml:space="preserve">. </w:t>
      </w:r>
      <w:r w:rsidR="006E14EC">
        <w:rPr>
          <w:rFonts w:cstheme="minorHAnsi"/>
        </w:rPr>
        <w:t>U</w:t>
      </w:r>
      <w:r w:rsidR="00FE3FD5">
        <w:rPr>
          <w:rFonts w:eastAsia="Calibri" w:cstheme="minorHAnsi"/>
          <w:bCs/>
        </w:rPr>
        <w:t>n divario</w:t>
      </w:r>
      <w:r w:rsidR="00FE3FD5" w:rsidRPr="0099030D">
        <w:rPr>
          <w:rFonts w:eastAsia="Calibri" w:cstheme="minorHAnsi"/>
          <w:bCs/>
        </w:rPr>
        <w:t xml:space="preserve"> della spesa sanitaria </w:t>
      </w:r>
      <w:r w:rsidR="00FE3FD5">
        <w:rPr>
          <w:rFonts w:eastAsia="Calibri" w:cstheme="minorHAnsi"/>
          <w:bCs/>
        </w:rPr>
        <w:t xml:space="preserve">pubblica </w:t>
      </w:r>
      <w:r w:rsidR="00FE3FD5" w:rsidRPr="0099030D">
        <w:rPr>
          <w:rFonts w:eastAsia="Calibri" w:cstheme="minorHAnsi"/>
          <w:bCs/>
        </w:rPr>
        <w:t>pro capite</w:t>
      </w:r>
      <w:r w:rsidR="00B26735">
        <w:rPr>
          <w:rFonts w:eastAsia="Calibri" w:cstheme="minorHAnsi"/>
          <w:bCs/>
        </w:rPr>
        <w:t xml:space="preserve"> </w:t>
      </w:r>
      <w:r w:rsidR="00FE3FD5" w:rsidRPr="0099030D">
        <w:rPr>
          <w:rFonts w:eastAsia="Calibri" w:cstheme="minorHAnsi"/>
          <w:bCs/>
        </w:rPr>
        <w:t>di € 889</w:t>
      </w:r>
      <w:r w:rsidR="00B26735" w:rsidRPr="0099030D">
        <w:rPr>
          <w:rFonts w:eastAsia="Calibri" w:cstheme="minorHAnsi"/>
          <w:bCs/>
        </w:rPr>
        <w:t xml:space="preserve"> </w:t>
      </w:r>
      <w:r w:rsidR="00B26735">
        <w:rPr>
          <w:rFonts w:eastAsia="Calibri" w:cstheme="minorHAnsi"/>
          <w:bCs/>
        </w:rPr>
        <w:t>rispetto al</w:t>
      </w:r>
      <w:r w:rsidR="00B26735" w:rsidRPr="0099030D">
        <w:rPr>
          <w:rFonts w:eastAsia="Calibri" w:cstheme="minorHAnsi"/>
          <w:bCs/>
        </w:rPr>
        <w:t>la media dei paesi OCSE membri dell’U</w:t>
      </w:r>
      <w:r w:rsidR="00CD2FE6">
        <w:rPr>
          <w:rFonts w:eastAsia="Calibri" w:cstheme="minorHAnsi"/>
          <w:bCs/>
        </w:rPr>
        <w:t xml:space="preserve">nione </w:t>
      </w:r>
      <w:r w:rsidR="00B26735">
        <w:rPr>
          <w:rFonts w:eastAsia="Calibri" w:cstheme="minorHAnsi"/>
          <w:bCs/>
        </w:rPr>
        <w:t>E</w:t>
      </w:r>
      <w:r w:rsidR="00CD2FE6">
        <w:rPr>
          <w:rFonts w:eastAsia="Calibri" w:cstheme="minorHAnsi"/>
          <w:bCs/>
        </w:rPr>
        <w:t>uropea</w:t>
      </w:r>
      <w:r w:rsidR="00B26735">
        <w:rPr>
          <w:rFonts w:eastAsia="Calibri" w:cstheme="minorHAnsi"/>
          <w:bCs/>
        </w:rPr>
        <w:t>,</w:t>
      </w:r>
      <w:r w:rsidR="00B26735" w:rsidRPr="0099030D">
        <w:rPr>
          <w:rFonts w:eastAsia="Calibri" w:cstheme="minorHAnsi"/>
          <w:bCs/>
        </w:rPr>
        <w:t xml:space="preserve"> </w:t>
      </w:r>
      <w:r w:rsidR="00FE3FD5" w:rsidRPr="0099030D">
        <w:rPr>
          <w:rFonts w:eastAsia="Calibri" w:cstheme="minorHAnsi"/>
          <w:bCs/>
        </w:rPr>
        <w:t xml:space="preserve"> </w:t>
      </w:r>
      <w:r w:rsidR="00FE3FD5">
        <w:rPr>
          <w:rFonts w:eastAsia="Calibri" w:cstheme="minorHAnsi"/>
          <w:bCs/>
        </w:rPr>
        <w:t>con un gap complessivo che sfiora i</w:t>
      </w:r>
      <w:r w:rsidR="00FE3FD5" w:rsidRPr="0099030D">
        <w:rPr>
          <w:rFonts w:eastAsia="Calibri" w:cstheme="minorHAnsi"/>
          <w:bCs/>
        </w:rPr>
        <w:t xml:space="preserve"> € 52,4 miliardi</w:t>
      </w:r>
      <w:r w:rsidR="00B26735">
        <w:rPr>
          <w:rFonts w:eastAsia="Calibri" w:cstheme="minorHAnsi"/>
          <w:bCs/>
        </w:rPr>
        <w:t>;</w:t>
      </w:r>
      <w:r w:rsidR="00276756">
        <w:rPr>
          <w:rFonts w:cstheme="minorHAnsi"/>
        </w:rPr>
        <w:t xml:space="preserve"> la crisi motivazionale del personale</w:t>
      </w:r>
      <w:r w:rsidR="00FE3FD5">
        <w:rPr>
          <w:rFonts w:cstheme="minorHAnsi"/>
        </w:rPr>
        <w:t xml:space="preserve"> che </w:t>
      </w:r>
      <w:r w:rsidR="006E14EC">
        <w:rPr>
          <w:rFonts w:cstheme="minorHAnsi"/>
        </w:rPr>
        <w:t>abbandona</w:t>
      </w:r>
      <w:r w:rsidR="00FE3FD5">
        <w:rPr>
          <w:rFonts w:cstheme="minorHAnsi"/>
        </w:rPr>
        <w:t xml:space="preserve"> il SSN</w:t>
      </w:r>
      <w:r w:rsidR="00B26735">
        <w:rPr>
          <w:rFonts w:cstheme="minorHAnsi"/>
        </w:rPr>
        <w:t>;</w:t>
      </w:r>
      <w:r w:rsidR="00276756">
        <w:rPr>
          <w:rFonts w:cstheme="minorHAnsi"/>
        </w:rPr>
        <w:t xml:space="preserve"> il boom della spesa a carico delle famiglie (+10,3</w:t>
      </w:r>
      <w:r w:rsidR="008A4FAC">
        <w:rPr>
          <w:rFonts w:cstheme="minorHAnsi"/>
        </w:rPr>
        <w:t>%</w:t>
      </w:r>
      <w:r w:rsidR="00276756">
        <w:rPr>
          <w:rFonts w:cstheme="minorHAnsi"/>
        </w:rPr>
        <w:t>)</w:t>
      </w:r>
      <w:r w:rsidR="00B26735">
        <w:rPr>
          <w:rFonts w:cstheme="minorHAnsi"/>
        </w:rPr>
        <w:t>;</w:t>
      </w:r>
      <w:r w:rsidR="00FE3FD5">
        <w:rPr>
          <w:rFonts w:cstheme="minorHAnsi"/>
        </w:rPr>
        <w:t xml:space="preserve"> </w:t>
      </w:r>
      <w:r w:rsidR="00276756" w:rsidRPr="0099030D">
        <w:rPr>
          <w:rFonts w:eastAsia="Calibri" w:cstheme="minorHAnsi"/>
          <w:bCs/>
        </w:rPr>
        <w:t xml:space="preserve">quasi </w:t>
      </w:r>
      <w:r w:rsidR="00FE3FD5">
        <w:rPr>
          <w:rFonts w:eastAsia="Calibri" w:cstheme="minorHAnsi"/>
          <w:bCs/>
        </w:rPr>
        <w:t>4,</w:t>
      </w:r>
      <w:r w:rsidR="00276756" w:rsidRPr="0099030D">
        <w:rPr>
          <w:rFonts w:eastAsia="Calibri" w:cstheme="minorHAnsi"/>
          <w:bCs/>
        </w:rPr>
        <w:t>5 milioni di persone</w:t>
      </w:r>
      <w:r w:rsidR="00276756">
        <w:rPr>
          <w:rFonts w:eastAsia="Calibri" w:cstheme="minorHAnsi"/>
          <w:bCs/>
        </w:rPr>
        <w:t xml:space="preserve"> che </w:t>
      </w:r>
      <w:r w:rsidR="00276756">
        <w:rPr>
          <w:rFonts w:cstheme="minorHAnsi"/>
        </w:rPr>
        <w:t xml:space="preserve">nel 2023 </w:t>
      </w:r>
      <w:r w:rsidR="00276756" w:rsidRPr="0099030D">
        <w:rPr>
          <w:rFonts w:eastAsia="Calibri" w:cstheme="minorHAnsi"/>
          <w:bCs/>
        </w:rPr>
        <w:t>hanno rinunciato alle cure</w:t>
      </w:r>
      <w:r w:rsidR="00FE3FD5">
        <w:rPr>
          <w:rFonts w:eastAsia="Calibri" w:cstheme="minorHAnsi"/>
          <w:bCs/>
        </w:rPr>
        <w:t>, di cui 2,5 milioni</w:t>
      </w:r>
      <w:r w:rsidR="00276756" w:rsidRPr="0099030D">
        <w:rPr>
          <w:rFonts w:eastAsia="Calibri" w:cstheme="minorHAnsi"/>
          <w:bCs/>
        </w:rPr>
        <w:t xml:space="preserve"> per motivi economici</w:t>
      </w:r>
      <w:r w:rsidR="00B26735">
        <w:rPr>
          <w:rFonts w:eastAsia="Calibri" w:cstheme="minorHAnsi"/>
          <w:bCs/>
        </w:rPr>
        <w:t>;</w:t>
      </w:r>
      <w:r w:rsidR="00276756">
        <w:rPr>
          <w:rFonts w:eastAsia="Calibri" w:cstheme="minorHAnsi"/>
          <w:bCs/>
        </w:rPr>
        <w:t xml:space="preserve"> le </w:t>
      </w:r>
      <w:r w:rsidR="00FE3FD5">
        <w:rPr>
          <w:rFonts w:eastAsia="Calibri" w:cstheme="minorHAnsi"/>
          <w:bCs/>
        </w:rPr>
        <w:t xml:space="preserve">inaccettabili </w:t>
      </w:r>
      <w:r w:rsidR="00276756">
        <w:rPr>
          <w:rFonts w:eastAsia="Calibri" w:cstheme="minorHAnsi"/>
          <w:bCs/>
        </w:rPr>
        <w:t>diseguaglianze regionali e territoriali</w:t>
      </w:r>
      <w:r w:rsidR="00B26735">
        <w:rPr>
          <w:rFonts w:eastAsia="Calibri" w:cstheme="minorHAnsi"/>
          <w:bCs/>
        </w:rPr>
        <w:t>;</w:t>
      </w:r>
      <w:r w:rsidR="00276756">
        <w:rPr>
          <w:rFonts w:eastAsia="Calibri" w:cstheme="minorHAnsi"/>
          <w:bCs/>
        </w:rPr>
        <w:t xml:space="preserve"> </w:t>
      </w:r>
      <w:r w:rsidR="00FE3FD5">
        <w:rPr>
          <w:rFonts w:eastAsia="Calibri" w:cstheme="minorHAnsi"/>
          <w:bCs/>
        </w:rPr>
        <w:t xml:space="preserve">la migrazione sanitaria e </w:t>
      </w:r>
      <w:r w:rsidR="00276756">
        <w:rPr>
          <w:rFonts w:eastAsia="Calibri" w:cstheme="minorHAnsi"/>
          <w:bCs/>
        </w:rPr>
        <w:t xml:space="preserve">i disagi </w:t>
      </w:r>
      <w:r w:rsidR="00FE3FD5">
        <w:rPr>
          <w:rFonts w:eastAsia="Calibri" w:cstheme="minorHAnsi"/>
          <w:bCs/>
        </w:rPr>
        <w:t xml:space="preserve">quotidiani sui tempi di attesa e sui pronto soccorso affollati </w:t>
      </w:r>
      <w:r w:rsidR="00FE3FD5" w:rsidRPr="0099030D">
        <w:rPr>
          <w:rFonts w:cstheme="minorHAnsi"/>
        </w:rPr>
        <w:t>«</w:t>
      </w:r>
      <w:r w:rsidR="00B26735">
        <w:rPr>
          <w:rFonts w:eastAsia="Calibri" w:cstheme="minorHAnsi"/>
          <w:bCs/>
        </w:rPr>
        <w:t xml:space="preserve">dimostrano </w:t>
      </w:r>
      <w:r w:rsidR="00FE3FD5">
        <w:rPr>
          <w:rFonts w:eastAsia="Calibri" w:cstheme="minorHAnsi"/>
          <w:bCs/>
        </w:rPr>
        <w:t xml:space="preserve">– continua Cartabellotta – </w:t>
      </w:r>
      <w:r w:rsidR="006E14EC">
        <w:rPr>
          <w:rFonts w:eastAsia="Calibri" w:cstheme="minorHAnsi"/>
          <w:bCs/>
        </w:rPr>
        <w:t xml:space="preserve">che </w:t>
      </w:r>
      <w:r w:rsidR="00FE3FD5">
        <w:rPr>
          <w:rFonts w:cstheme="minorHAnsi"/>
        </w:rPr>
        <w:t xml:space="preserve">la tenuta del SSN </w:t>
      </w:r>
      <w:r w:rsidR="00FE3FD5" w:rsidRPr="00276756">
        <w:rPr>
          <w:rFonts w:eastAsia="Calibri" w:cstheme="minorHAnsi"/>
          <w:bCs/>
        </w:rPr>
        <w:t>è prossima al punto di non ritorno</w:t>
      </w:r>
      <w:r w:rsidR="006E14EC">
        <w:rPr>
          <w:rFonts w:eastAsia="Calibri" w:cstheme="minorHAnsi"/>
          <w:bCs/>
        </w:rPr>
        <w:t xml:space="preserve">, </w:t>
      </w:r>
      <w:r w:rsidR="00FE3FD5">
        <w:rPr>
          <w:rFonts w:eastAsia="Calibri" w:cstheme="minorHAnsi"/>
          <w:bCs/>
        </w:rPr>
        <w:t xml:space="preserve">che </w:t>
      </w:r>
      <w:r w:rsidR="00FE3FD5" w:rsidRPr="00276756">
        <w:rPr>
          <w:rFonts w:eastAsia="Calibri" w:cstheme="minorHAnsi"/>
          <w:bCs/>
        </w:rPr>
        <w:t xml:space="preserve">i princìpi fondanti </w:t>
      </w:r>
      <w:r w:rsidR="00FE3FD5">
        <w:rPr>
          <w:rFonts w:eastAsia="Calibri" w:cstheme="minorHAnsi"/>
          <w:bCs/>
        </w:rPr>
        <w:t xml:space="preserve">di universalismo, equità e uguaglianza </w:t>
      </w:r>
      <w:r w:rsidR="00FE3FD5" w:rsidRPr="00276756">
        <w:rPr>
          <w:rFonts w:eastAsia="Calibri" w:cstheme="minorHAnsi"/>
          <w:bCs/>
        </w:rPr>
        <w:t>sono stati ormai traditi</w:t>
      </w:r>
      <w:r w:rsidR="006E14EC">
        <w:rPr>
          <w:rFonts w:eastAsia="Calibri" w:cstheme="minorHAnsi"/>
          <w:bCs/>
        </w:rPr>
        <w:t xml:space="preserve"> e che si sta lentamente sgretolando il diritto costituzionale alla tutela della salute, in particolare </w:t>
      </w:r>
      <w:r w:rsidR="0087570C">
        <w:rPr>
          <w:rFonts w:eastAsia="Calibri" w:cstheme="minorHAnsi"/>
          <w:bCs/>
        </w:rPr>
        <w:t>per</w:t>
      </w:r>
      <w:r w:rsidR="0087570C" w:rsidRPr="0087570C">
        <w:rPr>
          <w:rFonts w:eastAsia="Calibri" w:cstheme="minorHAnsi"/>
          <w:bCs/>
        </w:rPr>
        <w:t xml:space="preserve"> le fasce socio-economiche più deboli, gli anziani e i fragili, chi vive nel Mezzogiorno e nelle aree interne e disagiate</w:t>
      </w:r>
      <w:r w:rsidR="00FE3FD5" w:rsidRPr="0099030D">
        <w:rPr>
          <w:rFonts w:cstheme="minorHAnsi"/>
        </w:rPr>
        <w:t>»</w:t>
      </w:r>
      <w:r w:rsidR="00CA7DE2">
        <w:rPr>
          <w:rFonts w:cstheme="minorHAnsi"/>
        </w:rPr>
        <w:t>.</w:t>
      </w:r>
    </w:p>
    <w:p w14:paraId="187B85A1" w14:textId="1F25F6C1" w:rsidR="00886A4D" w:rsidRPr="0099030D" w:rsidRDefault="008B73B4" w:rsidP="003920DB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lastRenderedPageBreak/>
        <w:t xml:space="preserve">Definanziamento </w:t>
      </w:r>
      <w:r w:rsidR="000830EF" w:rsidRPr="006E14EC">
        <w:rPr>
          <w:rFonts w:eastAsia="Calibri" w:cstheme="minorHAnsi"/>
          <w:b/>
          <w:bCs/>
        </w:rPr>
        <w:t>cronico</w:t>
      </w:r>
      <w:r w:rsidR="000830EF" w:rsidRPr="0099030D">
        <w:rPr>
          <w:rFonts w:eastAsia="Calibri" w:cstheme="minorHAnsi"/>
          <w:b/>
          <w:bCs/>
        </w:rPr>
        <w:t>.</w:t>
      </w:r>
      <w:r w:rsidR="000830EF" w:rsidRPr="0099030D">
        <w:rPr>
          <w:rFonts w:eastAsia="Calibri" w:cstheme="minorHAnsi"/>
          <w:bCs/>
        </w:rPr>
        <w:t xml:space="preserve"> </w:t>
      </w:r>
      <w:r w:rsidR="00642D94" w:rsidRPr="0099030D">
        <w:rPr>
          <w:rFonts w:cstheme="minorHAnsi"/>
        </w:rPr>
        <w:t>«</w:t>
      </w:r>
      <w:r w:rsidR="00642D94">
        <w:rPr>
          <w:rFonts w:cstheme="minorHAnsi"/>
        </w:rPr>
        <w:t xml:space="preserve">La grave crisi di sostenibilità del SSN </w:t>
      </w:r>
      <w:r w:rsidR="00642D94" w:rsidRPr="0099030D">
        <w:rPr>
          <w:rFonts w:cstheme="minorHAnsi"/>
        </w:rPr>
        <w:t xml:space="preserve">– </w:t>
      </w:r>
      <w:r w:rsidR="00642D94">
        <w:rPr>
          <w:rFonts w:cstheme="minorHAnsi"/>
        </w:rPr>
        <w:t xml:space="preserve">afferma </w:t>
      </w:r>
      <w:r w:rsidR="00642D94" w:rsidRPr="0099030D">
        <w:rPr>
          <w:rFonts w:cstheme="minorHAnsi"/>
        </w:rPr>
        <w:t>Cartabellotta –</w:t>
      </w:r>
      <w:r w:rsidR="0023474C">
        <w:rPr>
          <w:rFonts w:cstheme="minorHAnsi"/>
        </w:rPr>
        <w:t xml:space="preserve"> </w:t>
      </w:r>
      <w:r w:rsidR="00C9239C">
        <w:rPr>
          <w:rFonts w:cstheme="minorHAnsi"/>
        </w:rPr>
        <w:t>è frutto anzitutto del</w:t>
      </w:r>
      <w:r w:rsidR="00642D94">
        <w:rPr>
          <w:rFonts w:cstheme="minorHAnsi"/>
        </w:rPr>
        <w:t xml:space="preserve"> definanziamento attuato </w:t>
      </w:r>
      <w:r w:rsidR="00C9239C">
        <w:rPr>
          <w:rFonts w:cstheme="minorHAnsi"/>
        </w:rPr>
        <w:t xml:space="preserve">negli ultimi 15 anni </w:t>
      </w:r>
      <w:r w:rsidR="00642D94">
        <w:rPr>
          <w:rFonts w:cstheme="minorHAnsi"/>
        </w:rPr>
        <w:t>da tutti i Governi</w:t>
      </w:r>
      <w:r w:rsidR="00C9239C">
        <w:rPr>
          <w:rFonts w:cstheme="minorHAnsi"/>
        </w:rPr>
        <w:t>,</w:t>
      </w:r>
      <w:r w:rsidR="00642D94">
        <w:rPr>
          <w:rFonts w:cstheme="minorHAnsi"/>
        </w:rPr>
        <w:t xml:space="preserve"> che hanno sempre </w:t>
      </w:r>
      <w:r w:rsidR="00C9239C">
        <w:rPr>
          <w:rFonts w:cstheme="minorHAnsi"/>
        </w:rPr>
        <w:t>visto nel</w:t>
      </w:r>
      <w:r w:rsidR="00642D94">
        <w:rPr>
          <w:rFonts w:cstheme="minorHAnsi"/>
        </w:rPr>
        <w:t>la spesa sanitaria</w:t>
      </w:r>
      <w:r w:rsidR="00EA5232">
        <w:rPr>
          <w:rFonts w:cstheme="minorHAnsi"/>
        </w:rPr>
        <w:t xml:space="preserve"> </w:t>
      </w:r>
      <w:r w:rsidR="00EA5232" w:rsidRPr="00EA5232">
        <w:rPr>
          <w:rFonts w:cstheme="minorHAnsi"/>
        </w:rPr>
        <w:t xml:space="preserve">un costo da tagliare ripetutamente e non una priorità su cui investire </w:t>
      </w:r>
      <w:r w:rsidR="00C9239C">
        <w:rPr>
          <w:rFonts w:cstheme="minorHAnsi"/>
        </w:rPr>
        <w:t>in maniera costante</w:t>
      </w:r>
      <w:r w:rsidR="00EA4C2F">
        <w:rPr>
          <w:rFonts w:cstheme="minorHAnsi"/>
        </w:rPr>
        <w:t>: hanno scelto di ridurre</w:t>
      </w:r>
      <w:r w:rsidR="00EA5232">
        <w:rPr>
          <w:rFonts w:cstheme="minorHAnsi"/>
        </w:rPr>
        <w:t xml:space="preserve"> </w:t>
      </w:r>
      <w:r w:rsidR="00EA5232" w:rsidRPr="00EA5232">
        <w:rPr>
          <w:rFonts w:cstheme="minorHAnsi"/>
        </w:rPr>
        <w:t>il perimetro dell</w:t>
      </w:r>
      <w:r>
        <w:rPr>
          <w:rFonts w:cstheme="minorHAnsi"/>
        </w:rPr>
        <w:t>a</w:t>
      </w:r>
      <w:r w:rsidR="00EA5232" w:rsidRPr="00EA5232">
        <w:rPr>
          <w:rFonts w:cstheme="minorHAnsi"/>
        </w:rPr>
        <w:t xml:space="preserve"> tutel</w:t>
      </w:r>
      <w:r>
        <w:rPr>
          <w:rFonts w:cstheme="minorHAnsi"/>
        </w:rPr>
        <w:t>a</w:t>
      </w:r>
      <w:r w:rsidR="00EA5232" w:rsidRPr="00EA5232">
        <w:rPr>
          <w:rFonts w:cstheme="minorHAnsi"/>
        </w:rPr>
        <w:t xml:space="preserve"> pubblic</w:t>
      </w:r>
      <w:r>
        <w:rPr>
          <w:rFonts w:cstheme="minorHAnsi"/>
        </w:rPr>
        <w:t>a</w:t>
      </w:r>
      <w:r w:rsidR="00EA5232" w:rsidRPr="00EA5232">
        <w:rPr>
          <w:rFonts w:cstheme="minorHAnsi"/>
        </w:rPr>
        <w:t xml:space="preserve"> per aumentare</w:t>
      </w:r>
      <w:r w:rsidR="00EA4C2F">
        <w:rPr>
          <w:rFonts w:cstheme="minorHAnsi"/>
        </w:rPr>
        <w:t xml:space="preserve"> i</w:t>
      </w:r>
      <w:r w:rsidR="00EA5232" w:rsidRPr="00EA5232">
        <w:rPr>
          <w:rFonts w:cstheme="minorHAnsi"/>
        </w:rPr>
        <w:t xml:space="preserve"> sussidi </w:t>
      </w:r>
      <w:r w:rsidR="00EA4C2F" w:rsidRPr="00EA5232">
        <w:rPr>
          <w:rFonts w:cstheme="minorHAnsi"/>
        </w:rPr>
        <w:t>individual</w:t>
      </w:r>
      <w:r w:rsidR="00EA4C2F">
        <w:rPr>
          <w:rFonts w:cstheme="minorHAnsi"/>
        </w:rPr>
        <w:t xml:space="preserve">i, </w:t>
      </w:r>
      <w:r w:rsidR="00EA5232" w:rsidRPr="00EA5232">
        <w:rPr>
          <w:rFonts w:cstheme="minorHAnsi"/>
        </w:rPr>
        <w:t xml:space="preserve">con l’obiettivo di mantenere il consenso elettorale, ignorando </w:t>
      </w:r>
      <w:r w:rsidR="00EA4C2F">
        <w:rPr>
          <w:rFonts w:cstheme="minorHAnsi"/>
        </w:rPr>
        <w:t xml:space="preserve">deliberatamente </w:t>
      </w:r>
      <w:r w:rsidR="00EA5232" w:rsidRPr="00EA5232">
        <w:rPr>
          <w:rFonts w:cstheme="minorHAnsi"/>
        </w:rPr>
        <w:t>che qualche decina di euro in più in busta paga non compensa</w:t>
      </w:r>
      <w:r w:rsidR="0023474C">
        <w:rPr>
          <w:rFonts w:cstheme="minorHAnsi"/>
        </w:rPr>
        <w:t>no</w:t>
      </w:r>
      <w:r w:rsidR="00EA5232" w:rsidRPr="00EA5232">
        <w:rPr>
          <w:rFonts w:cstheme="minorHAnsi"/>
        </w:rPr>
        <w:t xml:space="preserve"> certo le centinaia di euro da sborsare per un accertamento diagnostico o una visita specialistica</w:t>
      </w:r>
      <w:r w:rsidR="00642D94" w:rsidRPr="0099030D">
        <w:rPr>
          <w:rFonts w:cstheme="minorHAnsi"/>
        </w:rPr>
        <w:t>»</w:t>
      </w:r>
      <w:r w:rsidR="00642D94" w:rsidRPr="0099030D">
        <w:rPr>
          <w:rFonts w:eastAsia="Calibri" w:cstheme="minorHAnsi"/>
          <w:bCs/>
        </w:rPr>
        <w:t>.</w:t>
      </w:r>
      <w:r w:rsidR="00EA5232">
        <w:rPr>
          <w:rFonts w:eastAsia="Calibri" w:cstheme="minorHAnsi"/>
          <w:bCs/>
        </w:rPr>
        <w:t xml:space="preserve"> </w:t>
      </w:r>
      <w:r w:rsidR="000830EF" w:rsidRPr="0099030D">
        <w:rPr>
          <w:rFonts w:eastAsia="Calibri" w:cstheme="minorHAnsi"/>
          <w:bCs/>
        </w:rPr>
        <w:t>Il Fabbisogno Sanitario Nazionale (FSN) dal 2010 al 2024 è aumentato complessivamente di € 28,4 miliardi, in media € 2 miliardi per anno</w:t>
      </w:r>
      <w:r w:rsidR="00A53625">
        <w:rPr>
          <w:rFonts w:eastAsia="Calibri" w:cstheme="minorHAnsi"/>
          <w:bCs/>
        </w:rPr>
        <w:t xml:space="preserve"> (</w:t>
      </w:r>
      <w:r w:rsidR="00A53625" w:rsidRPr="00A53625">
        <w:rPr>
          <w:rFonts w:eastAsia="Calibri" w:cstheme="minorHAnsi"/>
          <w:bCs/>
          <w:highlight w:val="yellow"/>
        </w:rPr>
        <w:t>figura 1</w:t>
      </w:r>
      <w:r w:rsidR="00A53625">
        <w:rPr>
          <w:rFonts w:eastAsia="Calibri" w:cstheme="minorHAnsi"/>
          <w:bCs/>
        </w:rPr>
        <w:t>)</w:t>
      </w:r>
      <w:r w:rsidR="000830EF" w:rsidRPr="0099030D">
        <w:rPr>
          <w:rFonts w:eastAsia="Calibri" w:cstheme="minorHAnsi"/>
          <w:bCs/>
        </w:rPr>
        <w:t>, ma con trend molt</w:t>
      </w:r>
      <w:r w:rsidR="006E14EC">
        <w:rPr>
          <w:rFonts w:eastAsia="Calibri" w:cstheme="minorHAnsi"/>
          <w:bCs/>
        </w:rPr>
        <w:t>o</w:t>
      </w:r>
      <w:r w:rsidR="000830EF" w:rsidRPr="0099030D">
        <w:rPr>
          <w:rFonts w:eastAsia="Calibri" w:cstheme="minorHAnsi"/>
          <w:bCs/>
        </w:rPr>
        <w:t xml:space="preserve"> diversi. </w:t>
      </w:r>
      <w:r w:rsidR="0023474C">
        <w:rPr>
          <w:rFonts w:eastAsia="Calibri" w:cstheme="minorHAnsi"/>
          <w:bCs/>
        </w:rPr>
        <w:t xml:space="preserve">Nel </w:t>
      </w:r>
      <w:r w:rsidR="000830EF" w:rsidRPr="0099030D">
        <w:rPr>
          <w:rFonts w:eastAsia="Calibri" w:cstheme="minorHAnsi"/>
          <w:bCs/>
        </w:rPr>
        <w:t>periodo pre-pandemico (2010-2019)</w:t>
      </w:r>
      <w:r w:rsidR="00870444">
        <w:rPr>
          <w:rFonts w:eastAsia="Calibri" w:cstheme="minorHAnsi"/>
          <w:bCs/>
        </w:rPr>
        <w:t xml:space="preserve"> </w:t>
      </w:r>
      <w:r w:rsidR="003B5ADF">
        <w:rPr>
          <w:rFonts w:eastAsia="Calibri" w:cstheme="minorHAnsi"/>
          <w:bCs/>
        </w:rPr>
        <w:t xml:space="preserve">alla sanità pubblica </w:t>
      </w:r>
      <w:r w:rsidR="000830EF" w:rsidRPr="0099030D">
        <w:rPr>
          <w:rFonts w:eastAsia="Calibri" w:cstheme="minorHAnsi"/>
          <w:bCs/>
        </w:rPr>
        <w:t xml:space="preserve">sono stati sottratti oltre € 37 miliardi </w:t>
      </w:r>
      <w:r w:rsidR="003B5ADF">
        <w:rPr>
          <w:rFonts w:eastAsia="Calibri" w:cstheme="minorHAnsi"/>
          <w:bCs/>
        </w:rPr>
        <w:t>tra</w:t>
      </w:r>
      <w:r w:rsidR="000830EF" w:rsidRPr="003920DB">
        <w:rPr>
          <w:rFonts w:eastAsia="Calibri" w:cstheme="minorHAnsi"/>
          <w:bCs/>
        </w:rPr>
        <w:t xml:space="preserve"> “tagli” </w:t>
      </w:r>
      <w:r w:rsidR="003920DB" w:rsidRPr="003920DB">
        <w:rPr>
          <w:rFonts w:eastAsia="Calibri" w:cstheme="minorHAnsi"/>
          <w:bCs/>
        </w:rPr>
        <w:t xml:space="preserve">per il risanamento della finanza pubblica </w:t>
      </w:r>
      <w:r w:rsidR="000830EF" w:rsidRPr="003920DB">
        <w:rPr>
          <w:rFonts w:eastAsia="Calibri" w:cstheme="minorHAnsi"/>
          <w:bCs/>
        </w:rPr>
        <w:t xml:space="preserve">e </w:t>
      </w:r>
      <w:r w:rsidR="003B5ADF">
        <w:rPr>
          <w:rFonts w:eastAsia="Calibri" w:cstheme="minorHAnsi"/>
          <w:bCs/>
        </w:rPr>
        <w:t>minori</w:t>
      </w:r>
      <w:r w:rsidR="000830EF" w:rsidRPr="003920DB">
        <w:rPr>
          <w:rFonts w:eastAsia="Calibri" w:cstheme="minorHAnsi"/>
          <w:bCs/>
        </w:rPr>
        <w:t xml:space="preserve"> risorse </w:t>
      </w:r>
      <w:r w:rsidR="003B5ADF">
        <w:rPr>
          <w:rFonts w:eastAsia="Calibri" w:cstheme="minorHAnsi"/>
          <w:bCs/>
        </w:rPr>
        <w:t xml:space="preserve">assegnate </w:t>
      </w:r>
      <w:r w:rsidR="000830EF" w:rsidRPr="003920DB">
        <w:rPr>
          <w:rFonts w:eastAsia="Calibri" w:cstheme="minorHAnsi"/>
          <w:bCs/>
        </w:rPr>
        <w:t xml:space="preserve">rispetto ai livelli programmati. </w:t>
      </w:r>
      <w:r w:rsidR="00EA5232">
        <w:rPr>
          <w:rFonts w:eastAsia="Calibri" w:cstheme="minorHAnsi"/>
          <w:bCs/>
        </w:rPr>
        <w:t>N</w:t>
      </w:r>
      <w:r w:rsidR="000830EF">
        <w:rPr>
          <w:rFonts w:eastAsia="Calibri" w:cstheme="minorHAnsi"/>
          <w:bCs/>
        </w:rPr>
        <w:t>eg</w:t>
      </w:r>
      <w:r w:rsidR="000830EF" w:rsidRPr="0099030D">
        <w:rPr>
          <w:rFonts w:eastAsia="Calibri" w:cstheme="minorHAnsi"/>
          <w:bCs/>
        </w:rPr>
        <w:t xml:space="preserve">li anni 2020-2022 il FSN </w:t>
      </w:r>
      <w:r w:rsidR="000830EF">
        <w:rPr>
          <w:rFonts w:eastAsia="Calibri" w:cstheme="minorHAnsi"/>
          <w:bCs/>
        </w:rPr>
        <w:t>è aumentato</w:t>
      </w:r>
      <w:r w:rsidR="000830EF" w:rsidRPr="0099030D">
        <w:rPr>
          <w:rFonts w:eastAsia="Calibri" w:cstheme="minorHAnsi"/>
          <w:bCs/>
        </w:rPr>
        <w:t xml:space="preserve"> di </w:t>
      </w:r>
      <w:r w:rsidR="00EA5232">
        <w:rPr>
          <w:rFonts w:eastAsia="Calibri" w:cstheme="minorHAnsi"/>
          <w:bCs/>
        </w:rPr>
        <w:t xml:space="preserve">ben </w:t>
      </w:r>
      <w:r w:rsidR="000830EF" w:rsidRPr="0099030D">
        <w:rPr>
          <w:rFonts w:eastAsia="Calibri" w:cstheme="minorHAnsi"/>
          <w:bCs/>
        </w:rPr>
        <w:t>€ 11,6 miliardi</w:t>
      </w:r>
      <w:r w:rsidR="000830EF">
        <w:rPr>
          <w:rFonts w:eastAsia="Calibri" w:cstheme="minorHAnsi"/>
          <w:bCs/>
        </w:rPr>
        <w:t xml:space="preserve">, </w:t>
      </w:r>
      <w:r w:rsidR="00886A4D">
        <w:rPr>
          <w:rFonts w:eastAsia="Calibri" w:cstheme="minorHAnsi"/>
          <w:bCs/>
        </w:rPr>
        <w:t>una cifra</w:t>
      </w:r>
      <w:r w:rsidR="00CD2FE6">
        <w:rPr>
          <w:rFonts w:eastAsia="Calibri" w:cstheme="minorHAnsi"/>
          <w:bCs/>
        </w:rPr>
        <w:t xml:space="preserve"> tuttavia</w:t>
      </w:r>
      <w:r w:rsidR="00886A4D">
        <w:rPr>
          <w:rFonts w:eastAsia="Calibri" w:cstheme="minorHAnsi"/>
          <w:bCs/>
        </w:rPr>
        <w:t xml:space="preserve"> </w:t>
      </w:r>
      <w:r w:rsidR="003920DB">
        <w:rPr>
          <w:rFonts w:eastAsia="Calibri" w:cstheme="minorHAnsi"/>
          <w:bCs/>
        </w:rPr>
        <w:t>interamente</w:t>
      </w:r>
      <w:r w:rsidR="003920DB" w:rsidRPr="003920DB">
        <w:rPr>
          <w:rFonts w:eastAsia="Calibri" w:cstheme="minorHAnsi"/>
          <w:bCs/>
        </w:rPr>
        <w:t xml:space="preserve"> </w:t>
      </w:r>
      <w:r w:rsidR="00886A4D" w:rsidRPr="003920DB">
        <w:rPr>
          <w:rFonts w:eastAsia="Calibri" w:cstheme="minorHAnsi"/>
          <w:bCs/>
        </w:rPr>
        <w:t>assorbit</w:t>
      </w:r>
      <w:r w:rsidR="00886A4D">
        <w:rPr>
          <w:rFonts w:eastAsia="Calibri" w:cstheme="minorHAnsi"/>
          <w:bCs/>
        </w:rPr>
        <w:t xml:space="preserve">a </w:t>
      </w:r>
      <w:r w:rsidR="003920DB" w:rsidRPr="003920DB">
        <w:rPr>
          <w:rFonts w:eastAsia="Calibri" w:cstheme="minorHAnsi"/>
          <w:bCs/>
        </w:rPr>
        <w:t xml:space="preserve">dai costi della pandemia COVID-19, </w:t>
      </w:r>
      <w:r w:rsidR="009F69EB">
        <w:rPr>
          <w:rFonts w:eastAsia="Calibri" w:cstheme="minorHAnsi"/>
          <w:bCs/>
        </w:rPr>
        <w:t>che non ha permesso</w:t>
      </w:r>
      <w:r w:rsidR="00886A4D" w:rsidRPr="003920DB">
        <w:rPr>
          <w:rFonts w:eastAsia="Calibri" w:cstheme="minorHAnsi"/>
          <w:bCs/>
        </w:rPr>
        <w:t xml:space="preserve"> </w:t>
      </w:r>
      <w:r w:rsidR="003920DB" w:rsidRPr="003920DB">
        <w:rPr>
          <w:rFonts w:eastAsia="Calibri" w:cstheme="minorHAnsi"/>
          <w:bCs/>
        </w:rPr>
        <w:t>un rafforzamento strutturale del SSN</w:t>
      </w:r>
      <w:r w:rsidR="00D96112">
        <w:rPr>
          <w:rFonts w:eastAsia="Calibri" w:cstheme="minorHAnsi"/>
          <w:bCs/>
        </w:rPr>
        <w:t xml:space="preserve"> né </w:t>
      </w:r>
      <w:r w:rsidR="009F69EB">
        <w:rPr>
          <w:rFonts w:eastAsia="Calibri" w:cstheme="minorHAnsi"/>
          <w:bCs/>
        </w:rPr>
        <w:t xml:space="preserve">consentito </w:t>
      </w:r>
      <w:r w:rsidR="003920DB">
        <w:rPr>
          <w:rFonts w:eastAsia="Calibri" w:cstheme="minorHAnsi"/>
          <w:bCs/>
        </w:rPr>
        <w:t xml:space="preserve">alle Regioni di </w:t>
      </w:r>
      <w:r w:rsidR="003920DB" w:rsidRPr="003920DB">
        <w:rPr>
          <w:rFonts w:eastAsia="Calibri" w:cstheme="minorHAnsi"/>
          <w:bCs/>
        </w:rPr>
        <w:t>mantenere in ordine i bilanci.</w:t>
      </w:r>
      <w:r w:rsidR="003920DB">
        <w:rPr>
          <w:rFonts w:eastAsia="Calibri" w:cstheme="minorHAnsi"/>
          <w:bCs/>
        </w:rPr>
        <w:t xml:space="preserve"> </w:t>
      </w:r>
      <w:r w:rsidR="003743BC">
        <w:rPr>
          <w:rFonts w:eastAsia="Calibri" w:cstheme="minorHAnsi"/>
          <w:bCs/>
        </w:rPr>
        <w:t xml:space="preserve">Per gli anni 2023-2024 il FSN è aumentato di € </w:t>
      </w:r>
      <w:r w:rsidR="008A4FAC" w:rsidRPr="008A4FAC">
        <w:rPr>
          <w:rFonts w:eastAsia="Calibri" w:cstheme="minorHAnsi"/>
          <w:bCs/>
        </w:rPr>
        <w:t>8.653</w:t>
      </w:r>
      <w:r w:rsidR="003743BC" w:rsidRPr="008A4FAC">
        <w:rPr>
          <w:rFonts w:eastAsia="Calibri" w:cstheme="minorHAnsi"/>
          <w:bCs/>
        </w:rPr>
        <w:t xml:space="preserve"> </w:t>
      </w:r>
      <w:r w:rsidR="003743BC">
        <w:rPr>
          <w:rFonts w:eastAsia="Calibri" w:cstheme="minorHAnsi"/>
          <w:bCs/>
        </w:rPr>
        <w:t xml:space="preserve">milioni: tuttavia, nel 2023 </w:t>
      </w:r>
      <w:r w:rsidR="00EA5232" w:rsidRPr="00EA5232">
        <w:rPr>
          <w:rFonts w:eastAsia="Calibri" w:cstheme="minorHAnsi"/>
          <w:bCs/>
        </w:rPr>
        <w:t xml:space="preserve">€ 1.400 </w:t>
      </w:r>
      <w:r w:rsidR="00886A4D">
        <w:rPr>
          <w:rFonts w:eastAsia="Calibri" w:cstheme="minorHAnsi"/>
          <w:bCs/>
        </w:rPr>
        <w:t xml:space="preserve">milioni </w:t>
      </w:r>
      <w:r w:rsidR="003743BC">
        <w:rPr>
          <w:rFonts w:eastAsia="Calibri" w:cstheme="minorHAnsi"/>
          <w:bCs/>
        </w:rPr>
        <w:t xml:space="preserve">sono stati assorbiti </w:t>
      </w:r>
      <w:r w:rsidR="00D3477A">
        <w:rPr>
          <w:rFonts w:eastAsia="Calibri" w:cstheme="minorHAnsi"/>
          <w:bCs/>
        </w:rPr>
        <w:t>d</w:t>
      </w:r>
      <w:r w:rsidR="00EA5232" w:rsidRPr="00EA5232">
        <w:rPr>
          <w:rFonts w:eastAsia="Calibri" w:cstheme="minorHAnsi"/>
          <w:bCs/>
        </w:rPr>
        <w:t xml:space="preserve">alla copertura dei maggiori costi energetici </w:t>
      </w:r>
      <w:r w:rsidR="003743BC">
        <w:rPr>
          <w:rFonts w:eastAsia="Calibri" w:cstheme="minorHAnsi"/>
          <w:bCs/>
        </w:rPr>
        <w:t xml:space="preserve">e dal </w:t>
      </w:r>
      <w:r w:rsidR="00EA5232" w:rsidRPr="00EA5232">
        <w:rPr>
          <w:rFonts w:eastAsia="Calibri" w:cstheme="minorHAnsi"/>
          <w:bCs/>
        </w:rPr>
        <w:t xml:space="preserve">2024 </w:t>
      </w:r>
      <w:r w:rsidR="003743BC">
        <w:rPr>
          <w:rFonts w:eastAsia="Calibri" w:cstheme="minorHAnsi"/>
          <w:bCs/>
        </w:rPr>
        <w:t xml:space="preserve">oltre </w:t>
      </w:r>
      <w:r w:rsidR="00EA5232" w:rsidRPr="00EA5232">
        <w:rPr>
          <w:rFonts w:eastAsia="Calibri" w:cstheme="minorHAnsi"/>
          <w:bCs/>
        </w:rPr>
        <w:t>€ 2.4</w:t>
      </w:r>
      <w:r w:rsidR="003743BC">
        <w:rPr>
          <w:rFonts w:eastAsia="Calibri" w:cstheme="minorHAnsi"/>
          <w:bCs/>
        </w:rPr>
        <w:t>00 milioni</w:t>
      </w:r>
      <w:r w:rsidR="00EA5232" w:rsidRPr="00EA5232">
        <w:rPr>
          <w:rFonts w:eastAsia="Calibri" w:cstheme="minorHAnsi"/>
          <w:bCs/>
        </w:rPr>
        <w:t xml:space="preserve"> </w:t>
      </w:r>
      <w:r w:rsidR="00CD2FE6">
        <w:rPr>
          <w:rFonts w:eastAsia="Calibri" w:cstheme="minorHAnsi"/>
          <w:bCs/>
        </w:rPr>
        <w:t xml:space="preserve">sono </w:t>
      </w:r>
      <w:r w:rsidR="00EA5232" w:rsidRPr="00EA5232">
        <w:rPr>
          <w:rFonts w:eastAsia="Calibri" w:cstheme="minorHAnsi"/>
          <w:bCs/>
        </w:rPr>
        <w:t xml:space="preserve">destinati ai </w:t>
      </w:r>
      <w:r w:rsidR="003743BC">
        <w:rPr>
          <w:rFonts w:eastAsia="Calibri" w:cstheme="minorHAnsi"/>
          <w:bCs/>
        </w:rPr>
        <w:t xml:space="preserve">doverosi </w:t>
      </w:r>
      <w:r w:rsidR="00EA5232" w:rsidRPr="00EA5232">
        <w:rPr>
          <w:rFonts w:eastAsia="Calibri" w:cstheme="minorHAnsi"/>
          <w:bCs/>
        </w:rPr>
        <w:t>rinnovi contrattuali del personale.</w:t>
      </w:r>
      <w:r w:rsidR="003920DB">
        <w:rPr>
          <w:rFonts w:eastAsia="Calibri" w:cstheme="minorHAnsi"/>
          <w:bCs/>
        </w:rPr>
        <w:t xml:space="preserve"> Le previsioni per il prossimo futuro non </w:t>
      </w:r>
      <w:r w:rsidR="00886A4D">
        <w:rPr>
          <w:rFonts w:eastAsia="Calibri" w:cstheme="minorHAnsi"/>
          <w:bCs/>
        </w:rPr>
        <w:t xml:space="preserve">lasciano intravedere </w:t>
      </w:r>
      <w:r w:rsidR="003920DB">
        <w:rPr>
          <w:rFonts w:eastAsia="Calibri" w:cstheme="minorHAnsi"/>
          <w:bCs/>
        </w:rPr>
        <w:t>alcun rilancio del finanziamento pubblico per la sanità: infatti</w:t>
      </w:r>
      <w:r w:rsidR="000830EF" w:rsidRPr="0099030D">
        <w:rPr>
          <w:rFonts w:eastAsia="Calibri" w:cstheme="minorHAnsi"/>
          <w:bCs/>
        </w:rPr>
        <w:t xml:space="preserve">, secondo il Piano Strutturale di Bilancio deliberato lo scorso 27 settembre in </w:t>
      </w:r>
      <w:r w:rsidR="000830EF">
        <w:rPr>
          <w:rFonts w:eastAsia="Calibri" w:cstheme="minorHAnsi"/>
          <w:bCs/>
        </w:rPr>
        <w:t>C</w:t>
      </w:r>
      <w:r w:rsidR="000830EF" w:rsidRPr="0099030D">
        <w:rPr>
          <w:rFonts w:eastAsia="Calibri" w:cstheme="minorHAnsi"/>
          <w:bCs/>
        </w:rPr>
        <w:t xml:space="preserve">onsiglio dei Ministri, il rapporto spesa sanitaria/PIL </w:t>
      </w:r>
      <w:r w:rsidR="00CD2FE6">
        <w:rPr>
          <w:rFonts w:eastAsia="Calibri" w:cstheme="minorHAnsi"/>
          <w:bCs/>
        </w:rPr>
        <w:t xml:space="preserve">si riduce </w:t>
      </w:r>
      <w:r w:rsidR="003920DB">
        <w:rPr>
          <w:rFonts w:eastAsia="Calibri" w:cstheme="minorHAnsi"/>
          <w:bCs/>
        </w:rPr>
        <w:t xml:space="preserve">dal </w:t>
      </w:r>
      <w:r w:rsidR="000830EF" w:rsidRPr="0099030D">
        <w:rPr>
          <w:rFonts w:eastAsia="Calibri" w:cstheme="minorHAnsi"/>
          <w:bCs/>
        </w:rPr>
        <w:t>6,3% nel 2024-2025</w:t>
      </w:r>
      <w:r w:rsidR="003920DB">
        <w:rPr>
          <w:rFonts w:eastAsia="Calibri" w:cstheme="minorHAnsi"/>
          <w:bCs/>
        </w:rPr>
        <w:t xml:space="preserve"> </w:t>
      </w:r>
      <w:r w:rsidR="000830EF" w:rsidRPr="0099030D">
        <w:rPr>
          <w:rFonts w:eastAsia="Calibri" w:cstheme="minorHAnsi"/>
          <w:bCs/>
        </w:rPr>
        <w:t>al 6,2% nel 2026-2027</w:t>
      </w:r>
      <w:r w:rsidR="00A53625">
        <w:rPr>
          <w:rFonts w:eastAsia="Calibri" w:cstheme="minorHAnsi"/>
          <w:bCs/>
        </w:rPr>
        <w:t xml:space="preserve"> (</w:t>
      </w:r>
      <w:r w:rsidR="00A53625" w:rsidRPr="00A53625">
        <w:rPr>
          <w:rFonts w:eastAsia="Calibri" w:cstheme="minorHAnsi"/>
          <w:bCs/>
          <w:highlight w:val="yellow"/>
        </w:rPr>
        <w:t>tabella 1</w:t>
      </w:r>
      <w:r w:rsidR="00A53625">
        <w:rPr>
          <w:rFonts w:eastAsia="Calibri" w:cstheme="minorHAnsi"/>
          <w:bCs/>
        </w:rPr>
        <w:t>)</w:t>
      </w:r>
      <w:r w:rsidR="000830EF" w:rsidRPr="0099030D">
        <w:rPr>
          <w:rFonts w:eastAsia="Calibri" w:cstheme="minorHAnsi"/>
          <w:bCs/>
        </w:rPr>
        <w:t xml:space="preserve">. A fronte di una crescita media annua del PIL nominale del 2,8%, nel triennio 2025-2027 il Piano Strutturale di Bilancio stima una crescita media della spesa sanitaria del 2,3% annuo. </w:t>
      </w:r>
      <w:r w:rsidR="000830EF" w:rsidRPr="0099030D">
        <w:rPr>
          <w:rFonts w:cstheme="minorHAnsi"/>
        </w:rPr>
        <w:t>«</w:t>
      </w:r>
      <w:r w:rsidR="00EA5232" w:rsidRPr="0099030D">
        <w:rPr>
          <w:rFonts w:eastAsia="Calibri" w:cstheme="minorHAnsi"/>
          <w:bCs/>
        </w:rPr>
        <w:t>Questi dati</w:t>
      </w:r>
      <w:r w:rsidR="00EA5232">
        <w:rPr>
          <w:rFonts w:eastAsia="Calibri" w:cstheme="minorHAnsi"/>
          <w:bCs/>
        </w:rPr>
        <w:t xml:space="preserve"> </w:t>
      </w:r>
      <w:r w:rsidR="00CD2FE6">
        <w:rPr>
          <w:rFonts w:eastAsia="Calibri" w:cstheme="minorHAnsi"/>
          <w:bCs/>
        </w:rPr>
        <w:t>–</w:t>
      </w:r>
      <w:r w:rsidR="00EA5232" w:rsidRPr="0099030D">
        <w:rPr>
          <w:rFonts w:eastAsia="Calibri" w:cstheme="minorHAnsi"/>
          <w:bCs/>
        </w:rPr>
        <w:t xml:space="preserve"> spiega</w:t>
      </w:r>
      <w:r w:rsidR="00CD2FE6">
        <w:rPr>
          <w:rFonts w:eastAsia="Calibri" w:cstheme="minorHAnsi"/>
          <w:bCs/>
        </w:rPr>
        <w:t xml:space="preserve"> </w:t>
      </w:r>
      <w:r w:rsidR="00EA5232" w:rsidRPr="0099030D">
        <w:rPr>
          <w:rFonts w:eastAsia="Calibri" w:cstheme="minorHAnsi"/>
          <w:bCs/>
        </w:rPr>
        <w:t>Cartabellotta</w:t>
      </w:r>
      <w:r w:rsidR="00EA5232" w:rsidRPr="0099030D">
        <w:rPr>
          <w:rFonts w:cstheme="minorHAnsi"/>
        </w:rPr>
        <w:t xml:space="preserve"> </w:t>
      </w:r>
      <w:r w:rsidR="00EA5232">
        <w:rPr>
          <w:rFonts w:cstheme="minorHAnsi"/>
        </w:rPr>
        <w:t xml:space="preserve">– confermano il </w:t>
      </w:r>
      <w:r w:rsidR="00285A74">
        <w:rPr>
          <w:rFonts w:cstheme="minorHAnsi"/>
        </w:rPr>
        <w:t xml:space="preserve">continuo e </w:t>
      </w:r>
      <w:r w:rsidR="00EA5232">
        <w:rPr>
          <w:rFonts w:cstheme="minorHAnsi"/>
        </w:rPr>
        <w:t>progressivo definanziamento del SSN</w:t>
      </w:r>
      <w:r w:rsidR="00325249">
        <w:rPr>
          <w:rFonts w:cstheme="minorHAnsi"/>
        </w:rPr>
        <w:t xml:space="preserve"> </w:t>
      </w:r>
      <w:r w:rsidR="00285A74">
        <w:t>che non tiene conto dell</w:t>
      </w:r>
      <w:r w:rsidR="00325249">
        <w:t xml:space="preserve">’emergenza sanità </w:t>
      </w:r>
      <w:r w:rsidR="00285A74">
        <w:t xml:space="preserve">e prosegue ostinatamente nella stessa direzione dei </w:t>
      </w:r>
      <w:r w:rsidR="003920DB">
        <w:rPr>
          <w:rFonts w:cstheme="minorHAnsi"/>
        </w:rPr>
        <w:t>Governi precedenti</w:t>
      </w:r>
      <w:r w:rsidR="000830EF" w:rsidRPr="0099030D">
        <w:rPr>
          <w:rFonts w:cstheme="minorHAnsi"/>
        </w:rPr>
        <w:t>»</w:t>
      </w:r>
      <w:r w:rsidR="000830EF" w:rsidRPr="0099030D">
        <w:rPr>
          <w:rFonts w:eastAsia="Calibri" w:cstheme="minorHAnsi"/>
          <w:bCs/>
        </w:rPr>
        <w:t xml:space="preserve">. </w:t>
      </w:r>
    </w:p>
    <w:p w14:paraId="55C2397E" w14:textId="7DE0F5A7" w:rsidR="000830EF" w:rsidRDefault="000830EF" w:rsidP="00272C11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Crescita del peso</w:t>
      </w:r>
      <w:r w:rsidRPr="0099030D">
        <w:rPr>
          <w:rFonts w:eastAsia="Calibri" w:cstheme="minorHAnsi"/>
          <w:b/>
          <w:bCs/>
        </w:rPr>
        <w:t xml:space="preserve"> sulle famiglie.</w:t>
      </w:r>
      <w:r w:rsidRPr="0099030D">
        <w:rPr>
          <w:rFonts w:eastAsia="Calibri" w:cstheme="minorHAnsi"/>
          <w:bCs/>
        </w:rPr>
        <w:t xml:space="preserve"> </w:t>
      </w:r>
      <w:r w:rsidR="0056055F" w:rsidRPr="0056055F">
        <w:rPr>
          <w:rFonts w:eastAsia="Calibri" w:cstheme="minorHAnsi"/>
          <w:bCs/>
        </w:rPr>
        <w:t xml:space="preserve">Rispetto al 2022, </w:t>
      </w:r>
      <w:r w:rsidR="0056055F">
        <w:rPr>
          <w:rFonts w:eastAsia="Calibri" w:cstheme="minorHAnsi"/>
          <w:bCs/>
        </w:rPr>
        <w:t xml:space="preserve">nel 2023 i dati ISTAT </w:t>
      </w:r>
      <w:r w:rsidR="00A53625">
        <w:rPr>
          <w:rFonts w:eastAsia="Calibri" w:cstheme="minorHAnsi"/>
          <w:bCs/>
        </w:rPr>
        <w:t>(</w:t>
      </w:r>
      <w:r w:rsidR="00A53625" w:rsidRPr="00A53625">
        <w:rPr>
          <w:rFonts w:eastAsia="Calibri" w:cstheme="minorHAnsi"/>
          <w:bCs/>
          <w:highlight w:val="yellow"/>
        </w:rPr>
        <w:t>tabella 2</w:t>
      </w:r>
      <w:r w:rsidR="00A53625">
        <w:rPr>
          <w:rFonts w:eastAsia="Calibri" w:cstheme="minorHAnsi"/>
          <w:bCs/>
        </w:rPr>
        <w:t xml:space="preserve">) </w:t>
      </w:r>
      <w:r w:rsidR="0056055F">
        <w:rPr>
          <w:rFonts w:eastAsia="Calibri" w:cstheme="minorHAnsi"/>
          <w:bCs/>
        </w:rPr>
        <w:t xml:space="preserve">documentano che </w:t>
      </w:r>
      <w:r w:rsidR="0056055F" w:rsidRPr="0056055F">
        <w:rPr>
          <w:rFonts w:eastAsia="Calibri" w:cstheme="minorHAnsi"/>
          <w:bCs/>
        </w:rPr>
        <w:t>l’aumento della spesa sanitaria totale (+</w:t>
      </w:r>
      <w:r w:rsidR="0056055F">
        <w:rPr>
          <w:rFonts w:eastAsia="Calibri" w:cstheme="minorHAnsi"/>
          <w:bCs/>
        </w:rPr>
        <w:t xml:space="preserve">€ </w:t>
      </w:r>
      <w:r w:rsidR="0056055F" w:rsidRPr="0056055F">
        <w:rPr>
          <w:rFonts w:eastAsia="Calibri" w:cstheme="minorHAnsi"/>
          <w:bCs/>
        </w:rPr>
        <w:t>4.286</w:t>
      </w:r>
      <w:r w:rsidR="0056055F">
        <w:rPr>
          <w:rFonts w:eastAsia="Calibri" w:cstheme="minorHAnsi"/>
          <w:bCs/>
        </w:rPr>
        <w:t xml:space="preserve"> milioni</w:t>
      </w:r>
      <w:r w:rsidR="0056055F" w:rsidRPr="0056055F">
        <w:rPr>
          <w:rFonts w:eastAsia="Calibri" w:cstheme="minorHAnsi"/>
          <w:bCs/>
        </w:rPr>
        <w:t>) è stato sostenuto esclusivamente dall</w:t>
      </w:r>
      <w:r w:rsidR="0056055F">
        <w:rPr>
          <w:rFonts w:eastAsia="Calibri" w:cstheme="minorHAnsi"/>
          <w:bCs/>
        </w:rPr>
        <w:t>e</w:t>
      </w:r>
      <w:r w:rsidR="0056055F" w:rsidRPr="0056055F">
        <w:rPr>
          <w:rFonts w:eastAsia="Calibri" w:cstheme="minorHAnsi"/>
          <w:bCs/>
        </w:rPr>
        <w:t xml:space="preserve"> </w:t>
      </w:r>
      <w:r w:rsidR="0056055F">
        <w:rPr>
          <w:rFonts w:eastAsia="Calibri" w:cstheme="minorHAnsi"/>
          <w:bCs/>
        </w:rPr>
        <w:t>famiglie</w:t>
      </w:r>
      <w:r w:rsidR="00CD2FE6">
        <w:rPr>
          <w:rFonts w:eastAsia="Calibri" w:cstheme="minorHAnsi"/>
          <w:bCs/>
        </w:rPr>
        <w:t xml:space="preserve"> come spesa diretta</w:t>
      </w:r>
      <w:r w:rsidR="0056055F">
        <w:rPr>
          <w:rFonts w:eastAsia="Calibri" w:cstheme="minorHAnsi"/>
          <w:bCs/>
        </w:rPr>
        <w:t xml:space="preserve"> </w:t>
      </w:r>
      <w:r w:rsidR="0056055F" w:rsidRPr="0056055F">
        <w:rPr>
          <w:rFonts w:eastAsia="Calibri" w:cstheme="minorHAnsi"/>
          <w:bCs/>
        </w:rPr>
        <w:t>(+</w:t>
      </w:r>
      <w:r w:rsidR="0056055F">
        <w:rPr>
          <w:rFonts w:eastAsia="Calibri" w:cstheme="minorHAnsi"/>
          <w:bCs/>
        </w:rPr>
        <w:t xml:space="preserve">€ </w:t>
      </w:r>
      <w:r w:rsidR="0056055F" w:rsidRPr="0056055F">
        <w:rPr>
          <w:rFonts w:eastAsia="Calibri" w:cstheme="minorHAnsi"/>
          <w:bCs/>
        </w:rPr>
        <w:t>3.806</w:t>
      </w:r>
      <w:r w:rsidR="0056055F">
        <w:rPr>
          <w:rFonts w:eastAsia="Calibri" w:cstheme="minorHAnsi"/>
          <w:bCs/>
        </w:rPr>
        <w:t xml:space="preserve"> milioni</w:t>
      </w:r>
      <w:r w:rsidR="0056055F" w:rsidRPr="0056055F">
        <w:rPr>
          <w:rFonts w:eastAsia="Calibri" w:cstheme="minorHAnsi"/>
          <w:bCs/>
        </w:rPr>
        <w:t xml:space="preserve">) </w:t>
      </w:r>
      <w:r w:rsidR="00CD2FE6">
        <w:rPr>
          <w:rFonts w:eastAsia="Calibri" w:cstheme="minorHAnsi"/>
          <w:bCs/>
        </w:rPr>
        <w:t>o tramite</w:t>
      </w:r>
      <w:r w:rsidR="0056055F" w:rsidRPr="0056055F">
        <w:rPr>
          <w:rFonts w:eastAsia="Calibri" w:cstheme="minorHAnsi"/>
          <w:bCs/>
        </w:rPr>
        <w:t xml:space="preserve"> </w:t>
      </w:r>
      <w:r w:rsidR="0056055F">
        <w:rPr>
          <w:rFonts w:eastAsia="Calibri" w:cstheme="minorHAnsi"/>
          <w:bCs/>
        </w:rPr>
        <w:t xml:space="preserve">fondi sanitari e assicurazioni </w:t>
      </w:r>
      <w:r w:rsidR="0056055F" w:rsidRPr="0056055F">
        <w:rPr>
          <w:rFonts w:eastAsia="Calibri" w:cstheme="minorHAnsi"/>
          <w:bCs/>
        </w:rPr>
        <w:t>(+</w:t>
      </w:r>
      <w:r w:rsidR="0056055F">
        <w:rPr>
          <w:rFonts w:eastAsia="Calibri" w:cstheme="minorHAnsi"/>
          <w:bCs/>
        </w:rPr>
        <w:t xml:space="preserve">€ </w:t>
      </w:r>
      <w:r w:rsidR="00D63E0D">
        <w:rPr>
          <w:rFonts w:eastAsia="Calibri" w:cstheme="minorHAnsi"/>
          <w:bCs/>
        </w:rPr>
        <w:t xml:space="preserve">553 </w:t>
      </w:r>
      <w:r w:rsidR="0056055F">
        <w:rPr>
          <w:rFonts w:eastAsia="Calibri" w:cstheme="minorHAnsi"/>
          <w:bCs/>
        </w:rPr>
        <w:t>milioni</w:t>
      </w:r>
      <w:r w:rsidR="0056055F" w:rsidRPr="0056055F">
        <w:rPr>
          <w:rFonts w:eastAsia="Calibri" w:cstheme="minorHAnsi"/>
          <w:bCs/>
        </w:rPr>
        <w:t>)</w:t>
      </w:r>
      <w:r w:rsidR="0056055F">
        <w:rPr>
          <w:rFonts w:eastAsia="Calibri" w:cstheme="minorHAnsi"/>
          <w:bCs/>
        </w:rPr>
        <w:t xml:space="preserve">, </w:t>
      </w:r>
      <w:r w:rsidR="00DD7D1A">
        <w:rPr>
          <w:rFonts w:eastAsia="Calibri" w:cstheme="minorHAnsi"/>
          <w:bCs/>
        </w:rPr>
        <w:t>vista la</w:t>
      </w:r>
      <w:r w:rsidR="0056055F">
        <w:rPr>
          <w:rFonts w:eastAsia="Calibri" w:cstheme="minorHAnsi"/>
          <w:bCs/>
        </w:rPr>
        <w:t xml:space="preserve"> </w:t>
      </w:r>
      <w:r w:rsidR="00CD2FE6">
        <w:rPr>
          <w:rFonts w:eastAsia="Calibri" w:cstheme="minorHAnsi"/>
          <w:bCs/>
        </w:rPr>
        <w:t xml:space="preserve">sostanziale stabilità </w:t>
      </w:r>
      <w:r w:rsidR="0056055F">
        <w:rPr>
          <w:rFonts w:eastAsia="Calibri" w:cstheme="minorHAnsi"/>
          <w:bCs/>
        </w:rPr>
        <w:t>della spesa pubblica (-€</w:t>
      </w:r>
      <w:r w:rsidR="00AE2936">
        <w:rPr>
          <w:rFonts w:eastAsia="Calibri" w:cstheme="minorHAnsi"/>
          <w:bCs/>
        </w:rPr>
        <w:t xml:space="preserve"> </w:t>
      </w:r>
      <w:r w:rsidR="0056055F">
        <w:rPr>
          <w:rFonts w:eastAsia="Calibri" w:cstheme="minorHAnsi"/>
          <w:bCs/>
        </w:rPr>
        <w:t xml:space="preserve">73 milioni). </w:t>
      </w:r>
      <w:r w:rsidRPr="0099030D">
        <w:rPr>
          <w:rFonts w:cstheme="minorHAnsi"/>
        </w:rPr>
        <w:t>«</w:t>
      </w:r>
      <w:r w:rsidR="0056055F">
        <w:rPr>
          <w:rFonts w:cstheme="minorHAnsi"/>
        </w:rPr>
        <w:t>L</w:t>
      </w:r>
      <w:r>
        <w:rPr>
          <w:rFonts w:cstheme="minorHAnsi"/>
        </w:rPr>
        <w:t xml:space="preserve">e </w:t>
      </w:r>
      <w:r w:rsidR="0098409D">
        <w:rPr>
          <w:rFonts w:eastAsia="Calibri" w:cstheme="minorHAnsi"/>
          <w:bCs/>
        </w:rPr>
        <w:t>persone</w:t>
      </w:r>
      <w:r w:rsidRPr="0099030D">
        <w:rPr>
          <w:rFonts w:eastAsia="Calibri" w:cstheme="minorHAnsi"/>
          <w:bCs/>
        </w:rPr>
        <w:t xml:space="preserve"> </w:t>
      </w:r>
      <w:r w:rsidR="0098409D">
        <w:rPr>
          <w:rFonts w:eastAsia="Calibri" w:cstheme="minorHAnsi"/>
          <w:bCs/>
        </w:rPr>
        <w:t>– spiega Cartabellotta –</w:t>
      </w:r>
      <w:r w:rsidR="00325249">
        <w:rPr>
          <w:rFonts w:eastAsia="Calibri" w:cstheme="minorHAnsi"/>
          <w:bCs/>
        </w:rPr>
        <w:t xml:space="preserve"> </w:t>
      </w:r>
      <w:r w:rsidR="00CD2FE6">
        <w:rPr>
          <w:rFonts w:eastAsia="Calibri" w:cstheme="minorHAnsi"/>
          <w:bCs/>
        </w:rPr>
        <w:t xml:space="preserve">sono </w:t>
      </w:r>
      <w:r w:rsidRPr="0099030D">
        <w:rPr>
          <w:rFonts w:eastAsia="Calibri" w:cstheme="minorHAnsi"/>
          <w:bCs/>
        </w:rPr>
        <w:t xml:space="preserve">costrette </w:t>
      </w:r>
      <w:r w:rsidRPr="00410D6A">
        <w:rPr>
          <w:rFonts w:eastAsia="Calibri" w:cstheme="minorHAnsi"/>
          <w:bCs/>
        </w:rPr>
        <w:t xml:space="preserve">a </w:t>
      </w:r>
      <w:r w:rsidR="00720CB2" w:rsidRPr="00410D6A">
        <w:rPr>
          <w:rFonts w:eastAsia="Calibri" w:cstheme="minorHAnsi"/>
          <w:bCs/>
        </w:rPr>
        <w:t xml:space="preserve">pagare </w:t>
      </w:r>
      <w:r w:rsidRPr="00410D6A">
        <w:rPr>
          <w:rFonts w:eastAsia="Calibri" w:cstheme="minorHAnsi"/>
          <w:bCs/>
        </w:rPr>
        <w:t xml:space="preserve">di tasca propria </w:t>
      </w:r>
      <w:r w:rsidR="00720CB2" w:rsidRPr="00410D6A">
        <w:rPr>
          <w:rFonts w:eastAsia="Calibri" w:cstheme="minorHAnsi"/>
          <w:bCs/>
        </w:rPr>
        <w:t>un numero</w:t>
      </w:r>
      <w:r w:rsidRPr="00410D6A">
        <w:rPr>
          <w:rFonts w:eastAsia="Calibri" w:cstheme="minorHAnsi"/>
          <w:bCs/>
        </w:rPr>
        <w:t xml:space="preserve"> </w:t>
      </w:r>
      <w:r w:rsidR="00720CB2">
        <w:rPr>
          <w:rFonts w:eastAsia="Calibri" w:cstheme="minorHAnsi"/>
          <w:bCs/>
        </w:rPr>
        <w:t xml:space="preserve">crescente di </w:t>
      </w:r>
      <w:r w:rsidRPr="0099030D">
        <w:rPr>
          <w:rFonts w:eastAsia="Calibri" w:cstheme="minorHAnsi"/>
          <w:bCs/>
        </w:rPr>
        <w:t xml:space="preserve">prestazioni sanitarie, con </w:t>
      </w:r>
      <w:r w:rsidR="00720CB2">
        <w:rPr>
          <w:rFonts w:eastAsia="Calibri" w:cstheme="minorHAnsi"/>
          <w:bCs/>
        </w:rPr>
        <w:t xml:space="preserve">pesanti </w:t>
      </w:r>
      <w:r w:rsidRPr="0099030D">
        <w:rPr>
          <w:rFonts w:eastAsia="Calibri" w:cstheme="minorHAnsi"/>
          <w:bCs/>
        </w:rPr>
        <w:t xml:space="preserve">ripercussioni </w:t>
      </w:r>
      <w:r w:rsidR="0098409D">
        <w:rPr>
          <w:rFonts w:eastAsia="Calibri" w:cstheme="minorHAnsi"/>
          <w:bCs/>
        </w:rPr>
        <w:t xml:space="preserve">sui bilanci </w:t>
      </w:r>
      <w:r w:rsidR="00720CB2">
        <w:rPr>
          <w:rFonts w:eastAsia="Calibri" w:cstheme="minorHAnsi"/>
          <w:bCs/>
        </w:rPr>
        <w:t>familiari</w:t>
      </w:r>
      <w:r w:rsidRPr="0099030D">
        <w:rPr>
          <w:rFonts w:eastAsia="Calibri" w:cstheme="minorHAnsi"/>
          <w:bCs/>
        </w:rPr>
        <w:t xml:space="preserve">. </w:t>
      </w:r>
      <w:r w:rsidR="0098409D">
        <w:rPr>
          <w:rFonts w:eastAsia="Calibri" w:cstheme="minorHAnsi"/>
          <w:bCs/>
        </w:rPr>
        <w:t xml:space="preserve">Una </w:t>
      </w:r>
      <w:r w:rsidRPr="0099030D">
        <w:rPr>
          <w:rFonts w:eastAsia="Calibri" w:cstheme="minorHAnsi"/>
          <w:bCs/>
        </w:rPr>
        <w:t>situazione</w:t>
      </w:r>
      <w:r w:rsidR="0098409D">
        <w:rPr>
          <w:rFonts w:eastAsia="Calibri" w:cstheme="minorHAnsi"/>
          <w:bCs/>
        </w:rPr>
        <w:t xml:space="preserve"> in continuo peggioramento</w:t>
      </w:r>
      <w:r w:rsidR="00720CB2">
        <w:rPr>
          <w:rFonts w:eastAsia="Calibri" w:cstheme="minorHAnsi"/>
          <w:bCs/>
        </w:rPr>
        <w:t xml:space="preserve">, che rischia di </w:t>
      </w:r>
      <w:r w:rsidR="00325249">
        <w:rPr>
          <w:rFonts w:eastAsia="Calibri" w:cstheme="minorHAnsi"/>
          <w:bCs/>
        </w:rPr>
        <w:t xml:space="preserve">lasciare </w:t>
      </w:r>
      <w:r w:rsidRPr="0099030D">
        <w:rPr>
          <w:rFonts w:eastAsia="Calibri" w:cstheme="minorHAnsi"/>
          <w:bCs/>
        </w:rPr>
        <w:t xml:space="preserve">l’universalismo </w:t>
      </w:r>
      <w:r w:rsidR="00CD2FE6">
        <w:rPr>
          <w:rFonts w:eastAsia="Calibri" w:cstheme="minorHAnsi"/>
          <w:bCs/>
        </w:rPr>
        <w:t xml:space="preserve">del SSN </w:t>
      </w:r>
      <w:r w:rsidR="0098409D">
        <w:rPr>
          <w:rFonts w:eastAsia="Calibri" w:cstheme="minorHAnsi"/>
          <w:bCs/>
        </w:rPr>
        <w:t xml:space="preserve">solo sulla carta, </w:t>
      </w:r>
      <w:r w:rsidR="0056055F">
        <w:rPr>
          <w:rFonts w:eastAsia="Calibri" w:cstheme="minorHAnsi"/>
          <w:bCs/>
        </w:rPr>
        <w:t xml:space="preserve">visto che </w:t>
      </w:r>
      <w:r w:rsidR="0098409D" w:rsidRPr="0098409D">
        <w:rPr>
          <w:rFonts w:eastAsia="Calibri" w:cstheme="minorHAnsi"/>
          <w:bCs/>
        </w:rPr>
        <w:t>l</w:t>
      </w:r>
      <w:r w:rsidR="00720CB2">
        <w:rPr>
          <w:rFonts w:eastAsia="Calibri" w:cstheme="minorHAnsi"/>
          <w:bCs/>
        </w:rPr>
        <w:t>’accesso all</w:t>
      </w:r>
      <w:r w:rsidR="0098409D" w:rsidRPr="0098409D">
        <w:rPr>
          <w:rFonts w:eastAsia="Calibri" w:cstheme="minorHAnsi"/>
          <w:bCs/>
        </w:rPr>
        <w:t xml:space="preserve">e prestazioni </w:t>
      </w:r>
      <w:r w:rsidR="00720CB2">
        <w:rPr>
          <w:rFonts w:eastAsia="Calibri" w:cstheme="minorHAnsi"/>
          <w:bCs/>
        </w:rPr>
        <w:t xml:space="preserve">è sempre più legato alla possibilità di </w:t>
      </w:r>
      <w:r w:rsidR="004E1297" w:rsidRPr="00410D6A">
        <w:rPr>
          <w:rFonts w:eastAsia="Calibri" w:cstheme="minorHAnsi"/>
          <w:bCs/>
        </w:rPr>
        <w:t>sostenere personalmente le spese</w:t>
      </w:r>
      <w:r w:rsidR="00720CB2" w:rsidRPr="00410D6A">
        <w:rPr>
          <w:rFonts w:eastAsia="Calibri" w:cstheme="minorHAnsi"/>
          <w:bCs/>
        </w:rPr>
        <w:t xml:space="preserve"> </w:t>
      </w:r>
      <w:r w:rsidR="00720CB2">
        <w:rPr>
          <w:rFonts w:eastAsia="Calibri" w:cstheme="minorHAnsi"/>
          <w:bCs/>
        </w:rPr>
        <w:t xml:space="preserve">o di disporre </w:t>
      </w:r>
      <w:r w:rsidR="0056055F">
        <w:rPr>
          <w:rFonts w:eastAsia="Calibri" w:cstheme="minorHAnsi"/>
          <w:bCs/>
        </w:rPr>
        <w:t xml:space="preserve">di un fondo sanitario o una </w:t>
      </w:r>
      <w:r w:rsidR="0098409D" w:rsidRPr="0098409D">
        <w:rPr>
          <w:rFonts w:eastAsia="Calibri" w:cstheme="minorHAnsi"/>
          <w:bCs/>
        </w:rPr>
        <w:t>polizz</w:t>
      </w:r>
      <w:r w:rsidR="0056055F">
        <w:rPr>
          <w:rFonts w:eastAsia="Calibri" w:cstheme="minorHAnsi"/>
          <w:bCs/>
        </w:rPr>
        <w:t>a</w:t>
      </w:r>
      <w:r w:rsidR="0098409D" w:rsidRPr="0098409D">
        <w:rPr>
          <w:rFonts w:eastAsia="Calibri" w:cstheme="minorHAnsi"/>
          <w:bCs/>
        </w:rPr>
        <w:t xml:space="preserve"> assicurativ</w:t>
      </w:r>
      <w:r w:rsidR="0056055F">
        <w:rPr>
          <w:rFonts w:eastAsia="Calibri" w:cstheme="minorHAnsi"/>
          <w:bCs/>
        </w:rPr>
        <w:t>a</w:t>
      </w:r>
      <w:r w:rsidR="0098409D" w:rsidRPr="0098409D">
        <w:rPr>
          <w:rFonts w:eastAsia="Calibri" w:cstheme="minorHAnsi"/>
          <w:bCs/>
        </w:rPr>
        <w:t xml:space="preserve">. Che, in ogni caso, non potranno mai garantire nemmeno ai più abbienti una copertura </w:t>
      </w:r>
      <w:r w:rsidR="00CD2FE6">
        <w:rPr>
          <w:rFonts w:eastAsia="Calibri" w:cstheme="minorHAnsi"/>
          <w:bCs/>
        </w:rPr>
        <w:t>totale</w:t>
      </w:r>
      <w:r w:rsidR="00CD2FE6" w:rsidRPr="0098409D">
        <w:rPr>
          <w:rFonts w:eastAsia="Calibri" w:cstheme="minorHAnsi"/>
          <w:bCs/>
        </w:rPr>
        <w:t xml:space="preserve"> </w:t>
      </w:r>
      <w:r w:rsidR="0098409D" w:rsidRPr="0098409D">
        <w:rPr>
          <w:rFonts w:eastAsia="Calibri" w:cstheme="minorHAnsi"/>
          <w:bCs/>
        </w:rPr>
        <w:t>come quella offerta dal SSN</w:t>
      </w:r>
      <w:r w:rsidRPr="0099030D">
        <w:rPr>
          <w:rFonts w:cstheme="minorHAnsi"/>
        </w:rPr>
        <w:t>»</w:t>
      </w:r>
      <w:r w:rsidRPr="0099030D">
        <w:rPr>
          <w:rFonts w:eastAsia="Calibri" w:cstheme="minorHAnsi"/>
          <w:bCs/>
        </w:rPr>
        <w:t xml:space="preserve">. </w:t>
      </w:r>
      <w:r w:rsidR="00954739">
        <w:rPr>
          <w:rFonts w:eastAsia="Calibri" w:cstheme="minorHAnsi"/>
          <w:bCs/>
        </w:rPr>
        <w:t>L</w:t>
      </w:r>
      <w:r w:rsidRPr="0099030D">
        <w:rPr>
          <w:rFonts w:eastAsia="Calibri" w:cstheme="minorHAnsi"/>
          <w:bCs/>
        </w:rPr>
        <w:t xml:space="preserve">a spesa out-of-pocket </w:t>
      </w:r>
      <w:r w:rsidR="00CD2FE6">
        <w:rPr>
          <w:rFonts w:eastAsia="Calibri" w:cstheme="minorHAnsi"/>
          <w:bCs/>
        </w:rPr>
        <w:t>–</w:t>
      </w:r>
      <w:r w:rsidRPr="0099030D">
        <w:rPr>
          <w:rFonts w:eastAsia="Calibri" w:cstheme="minorHAnsi"/>
          <w:bCs/>
        </w:rPr>
        <w:t xml:space="preserve"> ovvero</w:t>
      </w:r>
      <w:r w:rsidR="00CD2FE6">
        <w:rPr>
          <w:rFonts w:eastAsia="Calibri" w:cstheme="minorHAnsi"/>
          <w:bCs/>
        </w:rPr>
        <w:t xml:space="preserve"> </w:t>
      </w:r>
      <w:r w:rsidRPr="0099030D">
        <w:rPr>
          <w:rFonts w:eastAsia="Calibri" w:cstheme="minorHAnsi"/>
          <w:bCs/>
        </w:rPr>
        <w:t xml:space="preserve">quella </w:t>
      </w:r>
      <w:r w:rsidRPr="0099030D">
        <w:rPr>
          <w:rStyle w:val="hgkelc"/>
          <w:rFonts w:cstheme="minorHAnsi"/>
        </w:rPr>
        <w:t xml:space="preserve">pagata </w:t>
      </w:r>
      <w:r w:rsidR="00954739">
        <w:rPr>
          <w:rStyle w:val="hgkelc"/>
          <w:rFonts w:cstheme="minorHAnsi"/>
        </w:rPr>
        <w:t xml:space="preserve">direttamente </w:t>
      </w:r>
      <w:r w:rsidRPr="0099030D">
        <w:rPr>
          <w:rStyle w:val="hgkelc"/>
          <w:rFonts w:cstheme="minorHAnsi"/>
        </w:rPr>
        <w:t>d</w:t>
      </w:r>
      <w:r w:rsidR="0098409D">
        <w:rPr>
          <w:rStyle w:val="hgkelc"/>
          <w:rFonts w:cstheme="minorHAnsi"/>
        </w:rPr>
        <w:t>ai cittadini</w:t>
      </w:r>
      <w:r w:rsidRPr="0099030D">
        <w:rPr>
          <w:rStyle w:val="hgkelc"/>
          <w:rFonts w:cstheme="minorHAnsi"/>
        </w:rPr>
        <w:t xml:space="preserve"> </w:t>
      </w:r>
      <w:r w:rsidR="00CD2FE6">
        <w:rPr>
          <w:rStyle w:val="hgkelc"/>
          <w:rFonts w:cstheme="minorHAnsi"/>
        </w:rPr>
        <w:t>–</w:t>
      </w:r>
      <w:r w:rsidRPr="0099030D">
        <w:rPr>
          <w:rFonts w:eastAsia="Calibri" w:cstheme="minorHAnsi"/>
          <w:bCs/>
        </w:rPr>
        <w:t xml:space="preserve"> </w:t>
      </w:r>
      <w:r w:rsidR="00954739">
        <w:rPr>
          <w:rFonts w:eastAsia="Calibri" w:cstheme="minorHAnsi"/>
          <w:bCs/>
        </w:rPr>
        <w:t xml:space="preserve">che nel periodo 2021-2022 </w:t>
      </w:r>
      <w:r w:rsidRPr="0099030D">
        <w:rPr>
          <w:rFonts w:eastAsia="Calibri" w:cstheme="minorHAnsi"/>
          <w:bCs/>
        </w:rPr>
        <w:t>ha</w:t>
      </w:r>
      <w:r w:rsidR="00CD2FE6">
        <w:rPr>
          <w:rFonts w:eastAsia="Calibri" w:cstheme="minorHAnsi"/>
          <w:bCs/>
        </w:rPr>
        <w:t xml:space="preserve"> </w:t>
      </w:r>
      <w:r w:rsidRPr="0099030D">
        <w:rPr>
          <w:rFonts w:eastAsia="Calibri" w:cstheme="minorHAnsi"/>
          <w:bCs/>
        </w:rPr>
        <w:t>registrato un incremento medio annuo dell’1,6% (</w:t>
      </w:r>
      <w:r w:rsidR="00EC12DF">
        <w:rPr>
          <w:rFonts w:eastAsia="Calibri" w:cstheme="minorHAnsi"/>
          <w:bCs/>
        </w:rPr>
        <w:t>+</w:t>
      </w:r>
      <w:r w:rsidRPr="0099030D">
        <w:rPr>
          <w:rFonts w:eastAsia="Calibri" w:cstheme="minorHAnsi"/>
          <w:bCs/>
        </w:rPr>
        <w:t xml:space="preserve">€ 5.326 in 10 anni), nel 2023 </w:t>
      </w:r>
      <w:r w:rsidR="009C7C62">
        <w:rPr>
          <w:rFonts w:eastAsia="Calibri" w:cstheme="minorHAnsi"/>
          <w:bCs/>
        </w:rPr>
        <w:t>si è impennata aumentando del 10,3%</w:t>
      </w:r>
      <w:r w:rsidR="0089739E">
        <w:rPr>
          <w:rFonts w:eastAsia="Calibri" w:cstheme="minorHAnsi"/>
          <w:bCs/>
        </w:rPr>
        <w:t xml:space="preserve"> </w:t>
      </w:r>
      <w:r w:rsidR="009C7C62">
        <w:rPr>
          <w:rFonts w:eastAsia="Calibri" w:cstheme="minorHAnsi"/>
          <w:bCs/>
        </w:rPr>
        <w:t>(</w:t>
      </w:r>
      <w:r w:rsidR="00EC12DF">
        <w:rPr>
          <w:rFonts w:eastAsia="Calibri" w:cstheme="minorHAnsi"/>
          <w:bCs/>
        </w:rPr>
        <w:t>+</w:t>
      </w:r>
      <w:r w:rsidRPr="0099030D">
        <w:rPr>
          <w:rFonts w:eastAsia="Calibri" w:cstheme="minorHAnsi"/>
          <w:bCs/>
        </w:rPr>
        <w:t>€ 3.806 milioni</w:t>
      </w:r>
      <w:r w:rsidR="009C7C62">
        <w:rPr>
          <w:rFonts w:eastAsia="Calibri" w:cstheme="minorHAnsi"/>
          <w:bCs/>
        </w:rPr>
        <w:t>)</w:t>
      </w:r>
      <w:r w:rsidRPr="0099030D">
        <w:rPr>
          <w:rFonts w:eastAsia="Calibri" w:cstheme="minorHAnsi"/>
          <w:bCs/>
        </w:rPr>
        <w:t xml:space="preserve"> </w:t>
      </w:r>
      <w:r w:rsidR="00CD2FE6">
        <w:rPr>
          <w:rFonts w:eastAsia="Calibri" w:cstheme="minorHAnsi"/>
          <w:bCs/>
        </w:rPr>
        <w:t>in un solo anno</w:t>
      </w:r>
      <w:r w:rsidR="00A53625">
        <w:rPr>
          <w:rFonts w:eastAsia="Calibri" w:cstheme="minorHAnsi"/>
          <w:bCs/>
        </w:rPr>
        <w:t xml:space="preserve"> (</w:t>
      </w:r>
      <w:r w:rsidR="00A53625" w:rsidRPr="00A53625">
        <w:rPr>
          <w:rFonts w:eastAsia="Calibri" w:cstheme="minorHAnsi"/>
          <w:bCs/>
          <w:highlight w:val="yellow"/>
        </w:rPr>
        <w:t>figura 2</w:t>
      </w:r>
      <w:r w:rsidR="00A53625">
        <w:rPr>
          <w:rFonts w:eastAsia="Calibri" w:cstheme="minorHAnsi"/>
          <w:bCs/>
        </w:rPr>
        <w:t>)</w:t>
      </w:r>
      <w:r w:rsidR="0056055F">
        <w:rPr>
          <w:rFonts w:eastAsia="Calibri" w:cstheme="minorHAnsi"/>
          <w:bCs/>
        </w:rPr>
        <w:t xml:space="preserve">. </w:t>
      </w:r>
      <w:r w:rsidR="0056055F" w:rsidRPr="0099030D">
        <w:rPr>
          <w:rFonts w:cstheme="minorHAnsi"/>
        </w:rPr>
        <w:t>«</w:t>
      </w:r>
      <w:r w:rsidR="0056055F">
        <w:rPr>
          <w:rFonts w:cstheme="minorHAnsi"/>
        </w:rPr>
        <w:t xml:space="preserve">Una cifra </w:t>
      </w:r>
      <w:r w:rsidR="009C7C62">
        <w:rPr>
          <w:rFonts w:cstheme="minorHAnsi"/>
        </w:rPr>
        <w:t xml:space="preserve">enorme </w:t>
      </w:r>
      <w:r w:rsidR="009C7C62">
        <w:rPr>
          <w:rFonts w:eastAsia="Calibri" w:cstheme="minorHAnsi"/>
          <w:bCs/>
        </w:rPr>
        <w:t xml:space="preserve">– commenta il </w:t>
      </w:r>
      <w:r w:rsidR="00B84AD1">
        <w:rPr>
          <w:rFonts w:eastAsia="Calibri" w:cstheme="minorHAnsi"/>
          <w:bCs/>
        </w:rPr>
        <w:t xml:space="preserve">Presidente </w:t>
      </w:r>
      <w:r w:rsidR="009C7C62">
        <w:rPr>
          <w:rFonts w:eastAsia="Calibri" w:cstheme="minorHAnsi"/>
          <w:bCs/>
        </w:rPr>
        <w:t>–</w:t>
      </w:r>
      <w:r w:rsidR="009C7C62">
        <w:rPr>
          <w:rFonts w:cstheme="minorHAnsi"/>
        </w:rPr>
        <w:t xml:space="preserve"> </w:t>
      </w:r>
      <w:r w:rsidR="00325249">
        <w:rPr>
          <w:rFonts w:cstheme="minorHAnsi"/>
        </w:rPr>
        <w:t>e</w:t>
      </w:r>
      <w:r w:rsidR="009C7C62">
        <w:rPr>
          <w:rFonts w:cstheme="minorHAnsi"/>
        </w:rPr>
        <w:t xml:space="preserve"> </w:t>
      </w:r>
      <w:r w:rsidR="0056055F">
        <w:rPr>
          <w:rFonts w:eastAsia="Calibri" w:cstheme="minorHAnsi"/>
          <w:bCs/>
        </w:rPr>
        <w:t xml:space="preserve">largamente sottostimata, in quanto </w:t>
      </w:r>
      <w:r w:rsidR="0056055F" w:rsidRPr="0099030D">
        <w:rPr>
          <w:rFonts w:eastAsia="Calibri" w:cstheme="minorHAnsi"/>
          <w:bCs/>
        </w:rPr>
        <w:t>arginat</w:t>
      </w:r>
      <w:r w:rsidR="0056055F">
        <w:rPr>
          <w:rFonts w:eastAsia="Calibri" w:cstheme="minorHAnsi"/>
          <w:bCs/>
        </w:rPr>
        <w:t>a</w:t>
      </w:r>
      <w:r w:rsidR="0056055F" w:rsidRPr="0099030D">
        <w:rPr>
          <w:rFonts w:eastAsia="Calibri" w:cstheme="minorHAnsi"/>
          <w:bCs/>
        </w:rPr>
        <w:t xml:space="preserve"> da vari fenomeni</w:t>
      </w:r>
      <w:r w:rsidR="003460A3">
        <w:rPr>
          <w:rFonts w:eastAsia="Calibri" w:cstheme="minorHAnsi"/>
          <w:bCs/>
        </w:rPr>
        <w:t xml:space="preserve">: </w:t>
      </w:r>
      <w:r w:rsidR="009C7C62">
        <w:rPr>
          <w:rFonts w:eastAsia="Calibri" w:cstheme="minorHAnsi"/>
          <w:bCs/>
        </w:rPr>
        <w:t xml:space="preserve">la </w:t>
      </w:r>
      <w:r w:rsidR="0056055F" w:rsidRPr="0099030D">
        <w:rPr>
          <w:rFonts w:eastAsia="Calibri" w:cstheme="minorHAnsi"/>
          <w:bCs/>
        </w:rPr>
        <w:t xml:space="preserve">limitazione delle spese per la salute, </w:t>
      </w:r>
      <w:r w:rsidR="009C7C62">
        <w:rPr>
          <w:rFonts w:eastAsia="Calibri" w:cstheme="minorHAnsi"/>
          <w:bCs/>
        </w:rPr>
        <w:t>l’</w:t>
      </w:r>
      <w:r w:rsidR="0056055F" w:rsidRPr="0099030D">
        <w:rPr>
          <w:rFonts w:eastAsia="Calibri" w:cstheme="minorHAnsi"/>
          <w:bCs/>
        </w:rPr>
        <w:t xml:space="preserve">indisponibilità economica temporanea e, soprattutto, </w:t>
      </w:r>
      <w:r w:rsidR="009C7C62">
        <w:rPr>
          <w:rFonts w:eastAsia="Calibri" w:cstheme="minorHAnsi"/>
          <w:bCs/>
        </w:rPr>
        <w:t xml:space="preserve">la </w:t>
      </w:r>
      <w:r w:rsidR="0056055F" w:rsidRPr="0099030D">
        <w:rPr>
          <w:rFonts w:eastAsia="Calibri" w:cstheme="minorHAnsi"/>
          <w:bCs/>
        </w:rPr>
        <w:t>rinuncia alle cure</w:t>
      </w:r>
      <w:r w:rsidR="0056055F" w:rsidRPr="0099030D">
        <w:rPr>
          <w:rFonts w:cstheme="minorHAnsi"/>
        </w:rPr>
        <w:t>»</w:t>
      </w:r>
      <w:r w:rsidR="0056055F" w:rsidRPr="0099030D">
        <w:rPr>
          <w:rFonts w:eastAsia="Calibri" w:cstheme="minorHAnsi"/>
          <w:bCs/>
        </w:rPr>
        <w:t>.</w:t>
      </w:r>
      <w:r w:rsidR="0056055F">
        <w:rPr>
          <w:rFonts w:eastAsia="Calibri" w:cstheme="minorHAnsi"/>
          <w:bCs/>
        </w:rPr>
        <w:t xml:space="preserve"> Infatti, s</w:t>
      </w:r>
      <w:r w:rsidRPr="0099030D">
        <w:rPr>
          <w:rFonts w:eastAsia="Calibri" w:cstheme="minorHAnsi"/>
          <w:bCs/>
        </w:rPr>
        <w:t xml:space="preserve">econdo l’ISTAT </w:t>
      </w:r>
      <w:r w:rsidR="0089739E">
        <w:rPr>
          <w:rFonts w:eastAsia="Calibri" w:cstheme="minorHAnsi"/>
          <w:bCs/>
        </w:rPr>
        <w:t xml:space="preserve">nel 2023 </w:t>
      </w:r>
      <w:r w:rsidRPr="0099030D">
        <w:rPr>
          <w:rFonts w:eastAsia="Calibri" w:cstheme="minorHAnsi"/>
          <w:bCs/>
        </w:rPr>
        <w:t xml:space="preserve">4,48 milioni di persone hanno rinunciato a visite specialistiche o esami diagnostici pur avendone bisogno, per uno o più motivi: </w:t>
      </w:r>
      <w:r w:rsidR="00EA3F81" w:rsidRPr="0099030D">
        <w:rPr>
          <w:rFonts w:eastAsia="Calibri" w:cstheme="minorHAnsi"/>
          <w:bCs/>
        </w:rPr>
        <w:t>lunghi tempi di attesa</w:t>
      </w:r>
      <w:r w:rsidR="00EA3F81">
        <w:rPr>
          <w:rFonts w:eastAsia="Calibri" w:cstheme="minorHAnsi"/>
          <w:bCs/>
        </w:rPr>
        <w:t xml:space="preserve">, </w:t>
      </w:r>
      <w:r w:rsidRPr="0099030D">
        <w:rPr>
          <w:rFonts w:eastAsia="Calibri" w:cstheme="minorHAnsi"/>
          <w:bCs/>
        </w:rPr>
        <w:t>difficoltà di accesso (struttura lontana, mancanza di trasporti, orari scomodi),</w:t>
      </w:r>
      <w:r w:rsidR="00EA3F81">
        <w:rPr>
          <w:rFonts w:eastAsia="Calibri" w:cstheme="minorHAnsi"/>
          <w:bCs/>
        </w:rPr>
        <w:t xml:space="preserve"> </w:t>
      </w:r>
      <w:r w:rsidR="00EA3F81" w:rsidRPr="0099030D">
        <w:rPr>
          <w:rFonts w:eastAsia="Calibri" w:cstheme="minorHAnsi"/>
          <w:bCs/>
        </w:rPr>
        <w:t>problemi economici (impossibilità di pagare, costo eccessivo)</w:t>
      </w:r>
      <w:r w:rsidRPr="0099030D">
        <w:rPr>
          <w:rFonts w:eastAsia="Calibri" w:cstheme="minorHAnsi"/>
          <w:bCs/>
        </w:rPr>
        <w:t xml:space="preserve">. </w:t>
      </w:r>
      <w:r w:rsidR="0089739E">
        <w:rPr>
          <w:rFonts w:eastAsia="Calibri" w:cstheme="minorHAnsi"/>
          <w:bCs/>
        </w:rPr>
        <w:t xml:space="preserve">E </w:t>
      </w:r>
      <w:r w:rsidR="00EA3F81" w:rsidRPr="0099030D">
        <w:rPr>
          <w:rFonts w:eastAsia="Calibri" w:cstheme="minorHAnsi"/>
          <w:bCs/>
        </w:rPr>
        <w:t>per motivi economici</w:t>
      </w:r>
      <w:r w:rsidR="00EA3F81">
        <w:rPr>
          <w:rFonts w:eastAsia="Calibri" w:cstheme="minorHAnsi"/>
          <w:bCs/>
        </w:rPr>
        <w:t xml:space="preserve"> nel 2023 </w:t>
      </w:r>
      <w:r w:rsidR="00EA3F81" w:rsidRPr="0099030D">
        <w:rPr>
          <w:rFonts w:eastAsia="Calibri" w:cstheme="minorHAnsi"/>
          <w:bCs/>
        </w:rPr>
        <w:t>hanno rinunciato alle cure</w:t>
      </w:r>
      <w:r w:rsidR="00EA3F81">
        <w:rPr>
          <w:rFonts w:eastAsia="Calibri" w:cstheme="minorHAnsi"/>
          <w:bCs/>
        </w:rPr>
        <w:t xml:space="preserve"> </w:t>
      </w:r>
      <w:r w:rsidRPr="0099030D">
        <w:rPr>
          <w:rFonts w:eastAsia="Calibri" w:cstheme="minorHAnsi"/>
          <w:bCs/>
        </w:rPr>
        <w:t>quasi 2,5 milioni di persone</w:t>
      </w:r>
      <w:r w:rsidR="0089739E">
        <w:rPr>
          <w:rFonts w:eastAsia="Calibri" w:cstheme="minorHAnsi"/>
          <w:bCs/>
        </w:rPr>
        <w:t xml:space="preserve"> (</w:t>
      </w:r>
      <w:r w:rsidRPr="0099030D">
        <w:rPr>
          <w:rFonts w:eastAsia="Calibri" w:cstheme="minorHAnsi"/>
          <w:bCs/>
        </w:rPr>
        <w:t>4,2% della popolazione</w:t>
      </w:r>
      <w:r w:rsidR="0089739E">
        <w:rPr>
          <w:rFonts w:eastAsia="Calibri" w:cstheme="minorHAnsi"/>
          <w:bCs/>
        </w:rPr>
        <w:t>)</w:t>
      </w:r>
      <w:r w:rsidR="00EA3F81">
        <w:rPr>
          <w:rFonts w:eastAsia="Calibri" w:cstheme="minorHAnsi"/>
          <w:bCs/>
        </w:rPr>
        <w:t xml:space="preserve">, </w:t>
      </w:r>
      <w:r w:rsidRPr="0099030D">
        <w:rPr>
          <w:rFonts w:eastAsia="Calibri" w:cstheme="minorHAnsi"/>
          <w:bCs/>
        </w:rPr>
        <w:t xml:space="preserve">quasi 600.000 in più </w:t>
      </w:r>
      <w:r w:rsidR="00EA3F81">
        <w:rPr>
          <w:rFonts w:eastAsia="Calibri" w:cstheme="minorHAnsi"/>
          <w:bCs/>
        </w:rPr>
        <w:t>del</w:t>
      </w:r>
      <w:r w:rsidR="00FB7FDA">
        <w:rPr>
          <w:rFonts w:eastAsia="Calibri" w:cstheme="minorHAnsi"/>
          <w:bCs/>
        </w:rPr>
        <w:t>l’anno precedente.</w:t>
      </w:r>
    </w:p>
    <w:p w14:paraId="172485F8" w14:textId="2A294398" w:rsidR="00AE2936" w:rsidRPr="0099030D" w:rsidRDefault="00AE2936" w:rsidP="00272C11">
      <w:pPr>
        <w:jc w:val="both"/>
        <w:rPr>
          <w:rFonts w:eastAsia="Calibri" w:cstheme="minorHAnsi"/>
          <w:bCs/>
        </w:rPr>
      </w:pPr>
      <w:r w:rsidRPr="00AE2936">
        <w:rPr>
          <w:rFonts w:eastAsia="Calibri" w:cstheme="minorHAnsi"/>
          <w:b/>
        </w:rPr>
        <w:t>Crolla la spesa per la prevenzione</w:t>
      </w:r>
      <w:r>
        <w:rPr>
          <w:rFonts w:eastAsia="Calibri" w:cstheme="minorHAnsi"/>
          <w:bCs/>
        </w:rPr>
        <w:t xml:space="preserve">. </w:t>
      </w:r>
      <w:r w:rsidRPr="00AE2936">
        <w:rPr>
          <w:rFonts w:eastAsia="Calibri" w:cstheme="minorHAnsi"/>
          <w:bCs/>
        </w:rPr>
        <w:t xml:space="preserve">Rispetto al 2022, nel 2023 </w:t>
      </w:r>
      <w:r>
        <w:rPr>
          <w:rFonts w:eastAsia="Calibri" w:cstheme="minorHAnsi"/>
          <w:bCs/>
        </w:rPr>
        <w:t xml:space="preserve">la spesa per </w:t>
      </w:r>
      <w:r w:rsidRPr="00AE2936">
        <w:rPr>
          <w:rFonts w:eastAsia="Calibri" w:cstheme="minorHAnsi"/>
          <w:bCs/>
        </w:rPr>
        <w:t xml:space="preserve">i “Servizi per la prevenzione delle malattie” </w:t>
      </w:r>
      <w:r>
        <w:rPr>
          <w:rFonts w:eastAsia="Calibri" w:cstheme="minorHAnsi"/>
          <w:bCs/>
        </w:rPr>
        <w:t xml:space="preserve">si riduce di ben € </w:t>
      </w:r>
      <w:r w:rsidRPr="00AE2936">
        <w:rPr>
          <w:rFonts w:eastAsia="Calibri" w:cstheme="minorHAnsi"/>
          <w:bCs/>
        </w:rPr>
        <w:t xml:space="preserve">1.933 </w:t>
      </w:r>
      <w:r>
        <w:rPr>
          <w:rFonts w:eastAsia="Calibri" w:cstheme="minorHAnsi"/>
          <w:bCs/>
        </w:rPr>
        <w:t xml:space="preserve">milioni </w:t>
      </w:r>
      <w:r w:rsidRPr="00AE2936">
        <w:rPr>
          <w:rFonts w:eastAsia="Calibri" w:cstheme="minorHAnsi"/>
          <w:bCs/>
        </w:rPr>
        <w:t>(-18,6</w:t>
      </w:r>
      <w:r w:rsidR="00541FC3">
        <w:rPr>
          <w:rFonts w:eastAsia="Calibri" w:cstheme="minorHAnsi"/>
          <w:bCs/>
        </w:rPr>
        <w:t>%</w:t>
      </w:r>
      <w:r w:rsidR="003460A3">
        <w:rPr>
          <w:rFonts w:eastAsia="Calibri" w:cstheme="minorHAnsi"/>
          <w:bCs/>
        </w:rPr>
        <w:t xml:space="preserve">). </w:t>
      </w:r>
      <w:r w:rsidRPr="0099030D">
        <w:rPr>
          <w:rFonts w:cstheme="minorHAnsi"/>
        </w:rPr>
        <w:t>«</w:t>
      </w:r>
      <w:r>
        <w:rPr>
          <w:rFonts w:cstheme="minorHAnsi"/>
        </w:rPr>
        <w:t xml:space="preserve">Tenendo conto che la prevenzione </w:t>
      </w:r>
      <w:r w:rsidRPr="0099030D">
        <w:rPr>
          <w:rFonts w:cstheme="minorHAnsi"/>
        </w:rPr>
        <w:t>– commenta Cartabellotta –</w:t>
      </w:r>
      <w:r>
        <w:rPr>
          <w:rFonts w:cstheme="minorHAnsi"/>
        </w:rPr>
        <w:t xml:space="preserve"> è la “sorella povera” del SSN, al quale viene allocato circa il </w:t>
      </w:r>
      <w:r w:rsidR="00541FC3">
        <w:rPr>
          <w:rFonts w:cstheme="minorHAnsi"/>
        </w:rPr>
        <w:t>6</w:t>
      </w:r>
      <w:r>
        <w:rPr>
          <w:rFonts w:cstheme="minorHAnsi"/>
        </w:rPr>
        <w:t xml:space="preserve">% del finanziamento pubblico, tale riduzione rappresenta </w:t>
      </w:r>
      <w:r w:rsidR="00081D0A">
        <w:rPr>
          <w:rFonts w:cstheme="minorHAnsi"/>
        </w:rPr>
        <w:t>un’</w:t>
      </w:r>
      <w:r>
        <w:rPr>
          <w:rFonts w:cstheme="minorHAnsi"/>
        </w:rPr>
        <w:t>ulteriore spia del sotto</w:t>
      </w:r>
      <w:r w:rsidR="00B84AD1">
        <w:rPr>
          <w:rFonts w:cstheme="minorHAnsi"/>
        </w:rPr>
        <w:t>-</w:t>
      </w:r>
      <w:r>
        <w:rPr>
          <w:rFonts w:cstheme="minorHAnsi"/>
        </w:rPr>
        <w:t>finanziamento che, inevitabilmente, costringe Regioni e Aziende sanitarie a</w:t>
      </w:r>
      <w:r w:rsidR="00081D0A">
        <w:rPr>
          <w:rFonts w:cstheme="minorHAnsi"/>
        </w:rPr>
        <w:t xml:space="preserve"> sottrarre </w:t>
      </w:r>
      <w:r>
        <w:rPr>
          <w:rFonts w:cstheme="minorHAnsi"/>
        </w:rPr>
        <w:t xml:space="preserve">risorse </w:t>
      </w:r>
      <w:r w:rsidR="00081D0A">
        <w:rPr>
          <w:rFonts w:cstheme="minorHAnsi"/>
        </w:rPr>
        <w:t xml:space="preserve">ad </w:t>
      </w:r>
      <w:r>
        <w:rPr>
          <w:rFonts w:cstheme="minorHAnsi"/>
        </w:rPr>
        <w:t xml:space="preserve">un settore </w:t>
      </w:r>
      <w:r w:rsidR="00081D0A">
        <w:rPr>
          <w:rFonts w:cstheme="minorHAnsi"/>
        </w:rPr>
        <w:t xml:space="preserve">sì </w:t>
      </w:r>
      <w:r>
        <w:rPr>
          <w:rFonts w:cstheme="minorHAnsi"/>
        </w:rPr>
        <w:t xml:space="preserve">fondamentale, ma </w:t>
      </w:r>
      <w:r w:rsidR="009307FB">
        <w:t>considerato differibile</w:t>
      </w:r>
      <w:r w:rsidR="00305A57">
        <w:rPr>
          <w:rFonts w:cstheme="minorHAnsi"/>
        </w:rPr>
        <w:t xml:space="preserve">. </w:t>
      </w:r>
      <w:r w:rsidR="00305A57" w:rsidRPr="00305A57">
        <w:rPr>
          <w:rFonts w:cstheme="minorHAnsi"/>
        </w:rPr>
        <w:t xml:space="preserve">Ma tagliare </w:t>
      </w:r>
      <w:r w:rsidR="00B84AD1">
        <w:rPr>
          <w:rFonts w:cstheme="minorHAnsi"/>
        </w:rPr>
        <w:lastRenderedPageBreak/>
        <w:t xml:space="preserve">oggi </w:t>
      </w:r>
      <w:r w:rsidR="00305A57" w:rsidRPr="00305A57">
        <w:rPr>
          <w:rFonts w:cstheme="minorHAnsi"/>
        </w:rPr>
        <w:t>sulla prevenzione avrà un costo altissimo in termini di salute negli anni a venire,</w:t>
      </w:r>
      <w:r w:rsidR="00557C14">
        <w:rPr>
          <w:rFonts w:cstheme="minorHAnsi"/>
        </w:rPr>
        <w:t xml:space="preserve"> documentando</w:t>
      </w:r>
      <w:r w:rsidR="00541FC3" w:rsidRPr="00305A57">
        <w:rPr>
          <w:rFonts w:cstheme="minorHAnsi"/>
        </w:rPr>
        <w:t xml:space="preserve"> </w:t>
      </w:r>
      <w:r w:rsidR="00305A57" w:rsidRPr="00305A57">
        <w:rPr>
          <w:rFonts w:cstheme="minorHAnsi"/>
        </w:rPr>
        <w:t>la miopia di queste scelte di breve periodo</w:t>
      </w:r>
      <w:r w:rsidRPr="0099030D">
        <w:rPr>
          <w:rFonts w:cstheme="minorHAnsi"/>
        </w:rPr>
        <w:t>»</w:t>
      </w:r>
      <w:r w:rsidRPr="0099030D">
        <w:rPr>
          <w:rFonts w:eastAsia="Calibri" w:cstheme="minorHAnsi"/>
          <w:bCs/>
        </w:rPr>
        <w:t>.</w:t>
      </w:r>
    </w:p>
    <w:p w14:paraId="6F3443D9" w14:textId="3B92F000" w:rsidR="00FE731A" w:rsidRPr="00832858" w:rsidRDefault="000830EF" w:rsidP="00272C11">
      <w:pPr>
        <w:jc w:val="both"/>
        <w:rPr>
          <w:rFonts w:cstheme="minorHAnsi"/>
        </w:rPr>
      </w:pPr>
      <w:r w:rsidRPr="0099030D">
        <w:rPr>
          <w:rFonts w:eastAsia="Calibri" w:cstheme="minorHAnsi"/>
          <w:b/>
          <w:bCs/>
        </w:rPr>
        <w:t>Crisi del personale</w:t>
      </w:r>
      <w:r w:rsidR="003743BC">
        <w:rPr>
          <w:rFonts w:eastAsia="Calibri" w:cstheme="minorHAnsi"/>
          <w:b/>
          <w:bCs/>
        </w:rPr>
        <w:t xml:space="preserve"> sanitario</w:t>
      </w:r>
      <w:r w:rsidRPr="0099030D">
        <w:rPr>
          <w:rFonts w:eastAsia="Calibri" w:cstheme="minorHAnsi"/>
          <w:b/>
          <w:bCs/>
        </w:rPr>
        <w:t>.</w:t>
      </w:r>
      <w:r w:rsidRPr="0099030D">
        <w:rPr>
          <w:rFonts w:eastAsia="Calibri" w:cstheme="minorHAnsi"/>
          <w:bCs/>
        </w:rPr>
        <w:t xml:space="preserve"> </w:t>
      </w:r>
      <w:r w:rsidR="002E5A2E" w:rsidRPr="0099030D">
        <w:rPr>
          <w:rFonts w:cstheme="minorHAnsi"/>
        </w:rPr>
        <w:t>«</w:t>
      </w:r>
      <w:r w:rsidR="002E5A2E">
        <w:rPr>
          <w:rFonts w:cstheme="minorHAnsi"/>
        </w:rPr>
        <w:t xml:space="preserve">La sanità pubblica </w:t>
      </w:r>
      <w:r w:rsidR="002E5A2E" w:rsidRPr="0099030D">
        <w:rPr>
          <w:rFonts w:cstheme="minorHAnsi"/>
        </w:rPr>
        <w:t>– commenta Cartabellotta –</w:t>
      </w:r>
      <w:r w:rsidR="002E5A2E">
        <w:rPr>
          <w:rFonts w:cstheme="minorHAnsi"/>
        </w:rPr>
        <w:t xml:space="preserve"> sta </w:t>
      </w:r>
      <w:r w:rsidR="002E5A2E" w:rsidRPr="002E5A2E">
        <w:rPr>
          <w:rFonts w:cstheme="minorHAnsi"/>
        </w:rPr>
        <w:t>sperimentando una crisi del personale sanitario senza precedenti</w:t>
      </w:r>
      <w:r w:rsidR="00A97C82">
        <w:rPr>
          <w:rFonts w:cstheme="minorHAnsi"/>
        </w:rPr>
        <w:t>: inizialmente</w:t>
      </w:r>
      <w:r w:rsidR="002E5A2E">
        <w:rPr>
          <w:rFonts w:cstheme="minorHAnsi"/>
        </w:rPr>
        <w:t xml:space="preserve"> </w:t>
      </w:r>
      <w:r w:rsidR="002E5A2E" w:rsidRPr="002E5A2E">
        <w:rPr>
          <w:rFonts w:cstheme="minorHAnsi"/>
        </w:rPr>
        <w:t xml:space="preserve">dovuta </w:t>
      </w:r>
      <w:r w:rsidR="00832858" w:rsidRPr="002E5A2E">
        <w:rPr>
          <w:rFonts w:cstheme="minorHAnsi"/>
        </w:rPr>
        <w:t>al definanziamento</w:t>
      </w:r>
      <w:r w:rsidR="00832858">
        <w:rPr>
          <w:rFonts w:cstheme="minorHAnsi"/>
        </w:rPr>
        <w:t xml:space="preserve"> del SSN</w:t>
      </w:r>
      <w:r w:rsidR="00832858" w:rsidRPr="002E5A2E">
        <w:rPr>
          <w:rFonts w:cstheme="minorHAnsi"/>
        </w:rPr>
        <w:t xml:space="preserve"> </w:t>
      </w:r>
      <w:r w:rsidR="00832858">
        <w:rPr>
          <w:rFonts w:cstheme="minorHAnsi"/>
        </w:rPr>
        <w:t xml:space="preserve">e </w:t>
      </w:r>
      <w:r w:rsidR="002E5A2E" w:rsidRPr="002E5A2E">
        <w:rPr>
          <w:rFonts w:cstheme="minorHAnsi"/>
        </w:rPr>
        <w:t>ad errori di programmazione</w:t>
      </w:r>
      <w:r w:rsidR="00A97C82">
        <w:rPr>
          <w:rFonts w:cstheme="minorHAnsi"/>
        </w:rPr>
        <w:t xml:space="preserve">, oggi, </w:t>
      </w:r>
      <w:r w:rsidR="00832858">
        <w:rPr>
          <w:rFonts w:cstheme="minorHAnsi"/>
        </w:rPr>
        <w:t>dopo la pandemia</w:t>
      </w:r>
      <w:r w:rsidR="00A97C82">
        <w:rPr>
          <w:rFonts w:cstheme="minorHAnsi"/>
        </w:rPr>
        <w:t>,</w:t>
      </w:r>
      <w:r w:rsidR="00832858">
        <w:rPr>
          <w:rFonts w:cstheme="minorHAnsi"/>
        </w:rPr>
        <w:t xml:space="preserve"> </w:t>
      </w:r>
      <w:r w:rsidR="00A97C82">
        <w:rPr>
          <w:rFonts w:cstheme="minorHAnsi"/>
        </w:rPr>
        <w:t xml:space="preserve">è aggravata </w:t>
      </w:r>
      <w:r w:rsidR="002E5A2E">
        <w:rPr>
          <w:rFonts w:cstheme="minorHAnsi"/>
        </w:rPr>
        <w:t>da</w:t>
      </w:r>
      <w:r w:rsidR="00832858">
        <w:rPr>
          <w:rFonts w:cstheme="minorHAnsi"/>
        </w:rPr>
        <w:t xml:space="preserve"> </w:t>
      </w:r>
      <w:r w:rsidR="00A97C82">
        <w:rPr>
          <w:rFonts w:cstheme="minorHAnsi"/>
        </w:rPr>
        <w:t xml:space="preserve">una </w:t>
      </w:r>
      <w:r w:rsidR="002E5A2E" w:rsidRPr="002E5A2E">
        <w:rPr>
          <w:rFonts w:cstheme="minorHAnsi"/>
        </w:rPr>
        <w:t xml:space="preserve">crescente </w:t>
      </w:r>
      <w:r w:rsidR="002E5A2E">
        <w:rPr>
          <w:rFonts w:cstheme="minorHAnsi"/>
        </w:rPr>
        <w:t>frustrazione</w:t>
      </w:r>
      <w:r w:rsidR="002E5A2E" w:rsidRPr="002E5A2E">
        <w:rPr>
          <w:rFonts w:cstheme="minorHAnsi"/>
        </w:rPr>
        <w:t xml:space="preserve"> e disaffezione per il SSN</w:t>
      </w:r>
      <w:r w:rsidR="00A97C82">
        <w:rPr>
          <w:rFonts w:cstheme="minorHAnsi"/>
        </w:rPr>
        <w:t>.  T</w:t>
      </w:r>
      <w:r w:rsidR="002E5A2E">
        <w:rPr>
          <w:rFonts w:cstheme="minorHAnsi"/>
        </w:rPr>
        <w:t xml:space="preserve">urni massacranti, </w:t>
      </w:r>
      <w:r w:rsidR="000523E0">
        <w:rPr>
          <w:rFonts w:cstheme="minorHAnsi"/>
        </w:rPr>
        <w:t xml:space="preserve">burnout, </w:t>
      </w:r>
      <w:r w:rsidR="002E5A2E">
        <w:rPr>
          <w:rFonts w:cstheme="minorHAnsi"/>
        </w:rPr>
        <w:t xml:space="preserve">basse retribuzioni, prospettive di carriera limitate ed escalation dei </w:t>
      </w:r>
      <w:r w:rsidR="002E5A2E" w:rsidRPr="002E5A2E">
        <w:rPr>
          <w:rFonts w:cstheme="minorHAnsi"/>
        </w:rPr>
        <w:t>casi di violenza</w:t>
      </w:r>
      <w:r w:rsidR="00A97C82">
        <w:rPr>
          <w:rFonts w:cstheme="minorHAnsi"/>
        </w:rPr>
        <w:t xml:space="preserve"> stanno demolendo la motivazione e la passione dei professionisti, portando la situazione verso </w:t>
      </w:r>
      <w:r w:rsidR="00FE731A">
        <w:rPr>
          <w:rFonts w:cstheme="minorHAnsi"/>
        </w:rPr>
        <w:t>il punto del non ritorno</w:t>
      </w:r>
      <w:r w:rsidR="002E5A2E" w:rsidRPr="0099030D">
        <w:rPr>
          <w:rFonts w:cstheme="minorHAnsi"/>
        </w:rPr>
        <w:t>»</w:t>
      </w:r>
      <w:r w:rsidR="002E5A2E" w:rsidRPr="0099030D">
        <w:rPr>
          <w:rFonts w:eastAsia="Calibri" w:cstheme="minorHAnsi"/>
          <w:bCs/>
        </w:rPr>
        <w:t>.</w:t>
      </w:r>
      <w:r w:rsidR="002E5A2E">
        <w:rPr>
          <w:rFonts w:eastAsia="Calibri" w:cstheme="minorHAnsi"/>
          <w:bCs/>
        </w:rPr>
        <w:t xml:space="preserve"> I</w:t>
      </w:r>
      <w:r w:rsidR="002E5A2E" w:rsidRPr="0099030D">
        <w:rPr>
          <w:rFonts w:eastAsia="Calibri" w:cstheme="minorHAnsi"/>
          <w:bCs/>
        </w:rPr>
        <w:t xml:space="preserve"> dati raccolti da organizzazioni sindacali e di categoria documentano </w:t>
      </w:r>
      <w:r w:rsidR="00FE731A">
        <w:rPr>
          <w:rFonts w:eastAsia="Calibri" w:cstheme="minorHAnsi"/>
          <w:bCs/>
        </w:rPr>
        <w:t xml:space="preserve">infatti </w:t>
      </w:r>
      <w:r w:rsidR="00832858">
        <w:rPr>
          <w:rFonts w:eastAsia="Calibri" w:cstheme="minorHAnsi"/>
          <w:bCs/>
        </w:rPr>
        <w:t xml:space="preserve">il </w:t>
      </w:r>
      <w:r w:rsidR="002E5A2E" w:rsidRPr="0099030D">
        <w:rPr>
          <w:rFonts w:eastAsia="Calibri" w:cstheme="minorHAnsi"/>
          <w:bCs/>
        </w:rPr>
        <w:t xml:space="preserve">progressivo abbandono del SSN: </w:t>
      </w:r>
      <w:r w:rsidR="002E5A2E">
        <w:rPr>
          <w:rFonts w:eastAsia="Calibri" w:cstheme="minorHAnsi"/>
          <w:bCs/>
        </w:rPr>
        <w:t xml:space="preserve">secondo </w:t>
      </w:r>
      <w:r w:rsidR="002E5A2E" w:rsidRPr="0099030D">
        <w:rPr>
          <w:rFonts w:eastAsia="Calibri" w:cstheme="minorHAnsi"/>
          <w:bCs/>
        </w:rPr>
        <w:t>la Fondazione ONAOSI</w:t>
      </w:r>
      <w:r w:rsidR="00A12410">
        <w:rPr>
          <w:rFonts w:eastAsia="Calibri" w:cstheme="minorHAnsi"/>
          <w:bCs/>
        </w:rPr>
        <w:t>,</w:t>
      </w:r>
      <w:r w:rsidR="002E5A2E">
        <w:rPr>
          <w:rFonts w:eastAsia="Calibri" w:cstheme="minorHAnsi"/>
          <w:bCs/>
        </w:rPr>
        <w:t xml:space="preserve"> </w:t>
      </w:r>
      <w:r w:rsidR="002E5A2E" w:rsidRPr="0099030D">
        <w:rPr>
          <w:rFonts w:eastAsia="Calibri" w:cstheme="minorHAnsi"/>
          <w:bCs/>
        </w:rPr>
        <w:t>tra il 2019 e il 2022 il SSN ha perso oltre 11.000 medici per licenziamenti o conclusione di contratti a tempo determinato</w:t>
      </w:r>
      <w:r w:rsidR="002E5A2E">
        <w:rPr>
          <w:rFonts w:eastAsia="Calibri" w:cstheme="minorHAnsi"/>
          <w:bCs/>
        </w:rPr>
        <w:t xml:space="preserve"> </w:t>
      </w:r>
      <w:r w:rsidR="002E5A2E" w:rsidRPr="0099030D">
        <w:rPr>
          <w:rFonts w:eastAsia="Calibri" w:cstheme="minorHAnsi"/>
          <w:bCs/>
        </w:rPr>
        <w:t xml:space="preserve">e </w:t>
      </w:r>
      <w:r w:rsidR="00A12410">
        <w:rPr>
          <w:rFonts w:eastAsia="Calibri" w:cstheme="minorHAnsi"/>
          <w:bCs/>
        </w:rPr>
        <w:t>ANAAO</w:t>
      </w:r>
      <w:r w:rsidR="002E5A2E" w:rsidRPr="0099030D">
        <w:rPr>
          <w:rFonts w:eastAsia="Calibri" w:cstheme="minorHAnsi"/>
          <w:bCs/>
        </w:rPr>
        <w:t xml:space="preserve">-Assomed stima ulteriori 2.564 abbandoni nel primo semestre 2023. </w:t>
      </w:r>
      <w:r w:rsidR="002E5A2E" w:rsidRPr="0099030D">
        <w:rPr>
          <w:rFonts w:cstheme="minorHAnsi"/>
        </w:rPr>
        <w:t xml:space="preserve">L’Italia </w:t>
      </w:r>
      <w:r w:rsidR="003460A3">
        <w:rPr>
          <w:rFonts w:cstheme="minorHAnsi"/>
        </w:rPr>
        <w:t xml:space="preserve">dispone </w:t>
      </w:r>
      <w:r w:rsidR="00557C14">
        <w:rPr>
          <w:rFonts w:cstheme="minorHAnsi"/>
        </w:rPr>
        <w:t xml:space="preserve">complessivamente </w:t>
      </w:r>
      <w:r w:rsidR="003460A3">
        <w:rPr>
          <w:rFonts w:cstheme="minorHAnsi"/>
        </w:rPr>
        <w:t xml:space="preserve">di </w:t>
      </w:r>
      <w:r w:rsidR="002E5A2E" w:rsidRPr="0099030D">
        <w:rPr>
          <w:rFonts w:cstheme="minorHAnsi"/>
        </w:rPr>
        <w:t>4,2 medici ogni 1.000 abitanti</w:t>
      </w:r>
      <w:r w:rsidR="00822D6D">
        <w:rPr>
          <w:rFonts w:cstheme="minorHAnsi"/>
        </w:rPr>
        <w:t xml:space="preserve"> (</w:t>
      </w:r>
      <w:r w:rsidR="00822D6D" w:rsidRPr="00822D6D">
        <w:rPr>
          <w:rFonts w:cstheme="minorHAnsi"/>
          <w:highlight w:val="yellow"/>
        </w:rPr>
        <w:t>figura 3</w:t>
      </w:r>
      <w:r w:rsidR="00822D6D">
        <w:rPr>
          <w:rFonts w:cstheme="minorHAnsi"/>
        </w:rPr>
        <w:t>)</w:t>
      </w:r>
      <w:r w:rsidR="002E5A2E" w:rsidRPr="0099030D">
        <w:rPr>
          <w:rFonts w:cstheme="minorHAnsi"/>
        </w:rPr>
        <w:t xml:space="preserve">, </w:t>
      </w:r>
      <w:r w:rsidR="00FE731A">
        <w:rPr>
          <w:rFonts w:cstheme="minorHAnsi"/>
        </w:rPr>
        <w:t xml:space="preserve">un </w:t>
      </w:r>
      <w:r w:rsidR="002E5A2E">
        <w:rPr>
          <w:rFonts w:cstheme="minorHAnsi"/>
        </w:rPr>
        <w:t xml:space="preserve">dato </w:t>
      </w:r>
      <w:r w:rsidR="00FE731A">
        <w:rPr>
          <w:rFonts w:cstheme="minorHAnsi"/>
        </w:rPr>
        <w:t>superiore al</w:t>
      </w:r>
      <w:r w:rsidR="002E5A2E" w:rsidRPr="0099030D">
        <w:rPr>
          <w:rFonts w:cstheme="minorHAnsi"/>
        </w:rPr>
        <w:t xml:space="preserve">la media OCSE (3,7), </w:t>
      </w:r>
      <w:r w:rsidR="000D53CF">
        <w:rPr>
          <w:rFonts w:cstheme="minorHAnsi"/>
        </w:rPr>
        <w:t xml:space="preserve">ma </w:t>
      </w:r>
      <w:r w:rsidR="000523E0">
        <w:rPr>
          <w:rFonts w:cstheme="minorHAnsi"/>
        </w:rPr>
        <w:t xml:space="preserve">sta sperimentando </w:t>
      </w:r>
      <w:r w:rsidR="003460A3">
        <w:rPr>
          <w:rFonts w:cstheme="minorHAnsi"/>
        </w:rPr>
        <w:t>il</w:t>
      </w:r>
      <w:r w:rsidR="000523E0">
        <w:rPr>
          <w:rFonts w:cstheme="minorHAnsi"/>
        </w:rPr>
        <w:t xml:space="preserve"> progressivo abbandono del SSN </w:t>
      </w:r>
      <w:r w:rsidR="00FE731A">
        <w:rPr>
          <w:rFonts w:cstheme="minorHAnsi"/>
        </w:rPr>
        <w:t xml:space="preserve">e </w:t>
      </w:r>
      <w:r w:rsidR="000523E0">
        <w:rPr>
          <w:rFonts w:cstheme="minorHAnsi"/>
        </w:rPr>
        <w:t>carenze selettive: o</w:t>
      </w:r>
      <w:r w:rsidR="000523E0" w:rsidRPr="000523E0">
        <w:rPr>
          <w:rFonts w:cstheme="minorHAnsi"/>
        </w:rPr>
        <w:t>ltre ai medici di famiglia, alcune specialità mediche fondamental</w:t>
      </w:r>
      <w:r w:rsidR="000523E0">
        <w:rPr>
          <w:rFonts w:cstheme="minorHAnsi"/>
        </w:rPr>
        <w:t xml:space="preserve">i </w:t>
      </w:r>
      <w:r w:rsidR="000523E0" w:rsidRPr="000523E0">
        <w:rPr>
          <w:rFonts w:cstheme="minorHAnsi"/>
        </w:rPr>
        <w:t xml:space="preserve">non </w:t>
      </w:r>
      <w:r w:rsidR="000523E0">
        <w:rPr>
          <w:rFonts w:cstheme="minorHAnsi"/>
        </w:rPr>
        <w:t xml:space="preserve">sono più attrattive </w:t>
      </w:r>
      <w:r w:rsidR="000523E0" w:rsidRPr="000523E0">
        <w:rPr>
          <w:rFonts w:cstheme="minorHAnsi"/>
        </w:rPr>
        <w:t>per i giovani medici</w:t>
      </w:r>
      <w:r w:rsidR="00FE731A">
        <w:rPr>
          <w:rFonts w:cstheme="minorHAnsi"/>
        </w:rPr>
        <w:t>, che disertano</w:t>
      </w:r>
      <w:r w:rsidR="000523E0" w:rsidRPr="000523E0">
        <w:rPr>
          <w:rFonts w:cstheme="minorHAnsi"/>
        </w:rPr>
        <w:t xml:space="preserve"> </w:t>
      </w:r>
      <w:r w:rsidR="005B5A57">
        <w:rPr>
          <w:rFonts w:cstheme="minorHAnsi"/>
        </w:rPr>
        <w:t xml:space="preserve">le specializzazioni in </w:t>
      </w:r>
      <w:r w:rsidR="000523E0" w:rsidRPr="000523E0">
        <w:rPr>
          <w:rFonts w:cstheme="minorHAnsi"/>
        </w:rPr>
        <w:t>medicina d’emergenza-urgenza, medicina nucleare</w:t>
      </w:r>
      <w:r w:rsidR="005B5A57">
        <w:rPr>
          <w:rFonts w:cstheme="minorHAnsi"/>
        </w:rPr>
        <w:t>,</w:t>
      </w:r>
      <w:r w:rsidR="000523E0" w:rsidRPr="000523E0">
        <w:rPr>
          <w:rFonts w:cstheme="minorHAnsi"/>
        </w:rPr>
        <w:t xml:space="preserve"> medicina e cure palliative, patologia clinica e biochimica clinica, microbiologia, e radioterapia.</w:t>
      </w:r>
      <w:r w:rsidR="000523E0">
        <w:rPr>
          <w:rFonts w:cstheme="minorHAnsi"/>
        </w:rPr>
        <w:t xml:space="preserve"> </w:t>
      </w:r>
      <w:r w:rsidR="000523E0" w:rsidRPr="0099030D">
        <w:rPr>
          <w:rFonts w:cstheme="minorHAnsi"/>
        </w:rPr>
        <w:t>«</w:t>
      </w:r>
      <w:r w:rsidR="000523E0">
        <w:rPr>
          <w:rFonts w:cstheme="minorHAnsi"/>
        </w:rPr>
        <w:t xml:space="preserve">Ma la vera crisi </w:t>
      </w:r>
      <w:r w:rsidR="000523E0" w:rsidRPr="0099030D">
        <w:rPr>
          <w:rFonts w:cstheme="minorHAnsi"/>
        </w:rPr>
        <w:t>–</w:t>
      </w:r>
      <w:r w:rsidR="000523E0">
        <w:rPr>
          <w:rFonts w:cstheme="minorHAnsi"/>
        </w:rPr>
        <w:t xml:space="preserve"> continua il Presidente </w:t>
      </w:r>
      <w:r w:rsidR="000523E0" w:rsidRPr="0099030D">
        <w:rPr>
          <w:rFonts w:cstheme="minorHAnsi"/>
        </w:rPr>
        <w:t>–</w:t>
      </w:r>
      <w:r w:rsidR="000523E0">
        <w:rPr>
          <w:rFonts w:cstheme="minorHAnsi"/>
        </w:rPr>
        <w:t xml:space="preserve"> riguarda il personale infermieristico: </w:t>
      </w:r>
      <w:r w:rsidR="00FE731A">
        <w:rPr>
          <w:rFonts w:cstheme="minorHAnsi"/>
        </w:rPr>
        <w:t xml:space="preserve">nonostante i crescenti bisogni, </w:t>
      </w:r>
      <w:r w:rsidR="00832858">
        <w:rPr>
          <w:rFonts w:cstheme="minorHAnsi"/>
        </w:rPr>
        <w:t>anche per la riforma dell’assistenza territoriale</w:t>
      </w:r>
      <w:r w:rsidR="000523E0">
        <w:rPr>
          <w:rFonts w:cstheme="minorHAnsi"/>
        </w:rPr>
        <w:t xml:space="preserve">, </w:t>
      </w:r>
      <w:r w:rsidR="00FE731A">
        <w:rPr>
          <w:rFonts w:cstheme="minorHAnsi"/>
        </w:rPr>
        <w:t xml:space="preserve">il numero di </w:t>
      </w:r>
      <w:r w:rsidR="000523E0">
        <w:rPr>
          <w:rFonts w:cstheme="minorHAnsi"/>
        </w:rPr>
        <w:t xml:space="preserve">infermieri </w:t>
      </w:r>
      <w:r w:rsidR="00FE731A">
        <w:rPr>
          <w:rFonts w:cstheme="minorHAnsi"/>
        </w:rPr>
        <w:t xml:space="preserve">è largamente </w:t>
      </w:r>
      <w:r w:rsidR="00832858">
        <w:rPr>
          <w:rFonts w:cstheme="minorHAnsi"/>
        </w:rPr>
        <w:t xml:space="preserve">insufficiente </w:t>
      </w:r>
      <w:r w:rsidR="000523E0">
        <w:rPr>
          <w:rFonts w:cstheme="minorHAnsi"/>
        </w:rPr>
        <w:t xml:space="preserve">e, soprattutto, le iscrizioni al Corso di Laurea </w:t>
      </w:r>
      <w:r w:rsidR="00A12410">
        <w:rPr>
          <w:rFonts w:cstheme="minorHAnsi"/>
        </w:rPr>
        <w:t xml:space="preserve">sono </w:t>
      </w:r>
      <w:r w:rsidR="000523E0">
        <w:rPr>
          <w:rFonts w:cstheme="minorHAnsi"/>
        </w:rPr>
        <w:t>in</w:t>
      </w:r>
      <w:r w:rsidR="00FE731A">
        <w:rPr>
          <w:rFonts w:cstheme="minorHAnsi"/>
        </w:rPr>
        <w:t xml:space="preserve"> continuo</w:t>
      </w:r>
      <w:r w:rsidR="000523E0">
        <w:rPr>
          <w:rFonts w:cstheme="minorHAnsi"/>
        </w:rPr>
        <w:t xml:space="preserve"> calo</w:t>
      </w:r>
      <w:r w:rsidR="00FE731A">
        <w:rPr>
          <w:rFonts w:cstheme="minorHAnsi"/>
        </w:rPr>
        <w:t>,</w:t>
      </w:r>
      <w:r w:rsidR="000523E0">
        <w:rPr>
          <w:rFonts w:cstheme="minorHAnsi"/>
        </w:rPr>
        <w:t xml:space="preserve"> con sempre meno laureati</w:t>
      </w:r>
      <w:r w:rsidR="000523E0" w:rsidRPr="0099030D">
        <w:rPr>
          <w:rFonts w:cstheme="minorHAnsi"/>
        </w:rPr>
        <w:t>»</w:t>
      </w:r>
      <w:r w:rsidR="000523E0" w:rsidRPr="0099030D">
        <w:rPr>
          <w:rFonts w:eastAsia="Calibri" w:cstheme="minorHAnsi"/>
          <w:bCs/>
        </w:rPr>
        <w:t>.</w:t>
      </w:r>
      <w:r w:rsidR="000523E0">
        <w:rPr>
          <w:rFonts w:cstheme="minorHAnsi"/>
        </w:rPr>
        <w:t xml:space="preserve"> </w:t>
      </w:r>
      <w:r w:rsidR="00700A44">
        <w:rPr>
          <w:rFonts w:cstheme="minorHAnsi"/>
        </w:rPr>
        <w:t xml:space="preserve">Con </w:t>
      </w:r>
      <w:r w:rsidR="000523E0" w:rsidRPr="0099030D">
        <w:rPr>
          <w:rFonts w:cstheme="minorHAnsi"/>
        </w:rPr>
        <w:t xml:space="preserve">6,5 </w:t>
      </w:r>
      <w:r w:rsidR="00700A44">
        <w:rPr>
          <w:rFonts w:cstheme="minorHAnsi"/>
        </w:rPr>
        <w:t xml:space="preserve">infermieri </w:t>
      </w:r>
      <w:r w:rsidR="000523E0" w:rsidRPr="0099030D">
        <w:rPr>
          <w:rFonts w:cstheme="minorHAnsi"/>
        </w:rPr>
        <w:t>ogni 1.000 abitanti</w:t>
      </w:r>
      <w:r w:rsidR="00C918EF">
        <w:rPr>
          <w:rFonts w:cstheme="minorHAnsi"/>
        </w:rPr>
        <w:t xml:space="preserve"> (</w:t>
      </w:r>
      <w:r w:rsidR="00C918EF" w:rsidRPr="00822D6D">
        <w:rPr>
          <w:rFonts w:cstheme="minorHAnsi"/>
          <w:highlight w:val="yellow"/>
        </w:rPr>
        <w:t xml:space="preserve">figura </w:t>
      </w:r>
      <w:r w:rsidR="00C918EF">
        <w:rPr>
          <w:rFonts w:cstheme="minorHAnsi"/>
          <w:highlight w:val="yellow"/>
        </w:rPr>
        <w:t>4</w:t>
      </w:r>
      <w:r w:rsidR="00C918EF">
        <w:rPr>
          <w:rFonts w:cstheme="minorHAnsi"/>
        </w:rPr>
        <w:t>)</w:t>
      </w:r>
      <w:r w:rsidR="00700A44">
        <w:rPr>
          <w:rFonts w:cstheme="minorHAnsi"/>
        </w:rPr>
        <w:t>, l’Italia</w:t>
      </w:r>
      <w:r w:rsidR="000523E0" w:rsidRPr="0099030D">
        <w:rPr>
          <w:rFonts w:cstheme="minorHAnsi"/>
        </w:rPr>
        <w:t xml:space="preserve"> </w:t>
      </w:r>
      <w:r w:rsidR="002E5A2E" w:rsidRPr="0099030D">
        <w:rPr>
          <w:rFonts w:cstheme="minorHAnsi"/>
        </w:rPr>
        <w:t xml:space="preserve">è </w:t>
      </w:r>
      <w:r w:rsidR="00700A44">
        <w:rPr>
          <w:rFonts w:cstheme="minorHAnsi"/>
        </w:rPr>
        <w:t>ben al di sotto della</w:t>
      </w:r>
      <w:r w:rsidR="000523E0">
        <w:rPr>
          <w:rFonts w:cstheme="minorHAnsi"/>
        </w:rPr>
        <w:t xml:space="preserve"> </w:t>
      </w:r>
      <w:r w:rsidR="000523E0" w:rsidRPr="0099030D">
        <w:rPr>
          <w:rFonts w:cstheme="minorHAnsi"/>
        </w:rPr>
        <w:t xml:space="preserve">media OCSE </w:t>
      </w:r>
      <w:r w:rsidR="00A12410">
        <w:rPr>
          <w:rFonts w:cstheme="minorHAnsi"/>
        </w:rPr>
        <w:t>(</w:t>
      </w:r>
      <w:r w:rsidR="000523E0" w:rsidRPr="0099030D">
        <w:rPr>
          <w:rFonts w:cstheme="minorHAnsi"/>
        </w:rPr>
        <w:t>9,8</w:t>
      </w:r>
      <w:r w:rsidR="00A12410">
        <w:rPr>
          <w:rFonts w:cstheme="minorHAnsi"/>
        </w:rPr>
        <w:t>)</w:t>
      </w:r>
      <w:r w:rsidR="002E5A2E" w:rsidRPr="0099030D">
        <w:rPr>
          <w:rFonts w:cstheme="minorHAnsi"/>
        </w:rPr>
        <w:t xml:space="preserve">, </w:t>
      </w:r>
      <w:r w:rsidR="000523E0">
        <w:rPr>
          <w:rFonts w:cstheme="minorHAnsi"/>
        </w:rPr>
        <w:t>collocando</w:t>
      </w:r>
      <w:r w:rsidR="00700A44">
        <w:rPr>
          <w:rFonts w:cstheme="minorHAnsi"/>
        </w:rPr>
        <w:t>si</w:t>
      </w:r>
      <w:r w:rsidR="000523E0">
        <w:rPr>
          <w:rFonts w:cstheme="minorHAnsi"/>
        </w:rPr>
        <w:t xml:space="preserve"> </w:t>
      </w:r>
      <w:r w:rsidR="002E5A2E" w:rsidRPr="0099030D">
        <w:rPr>
          <w:rFonts w:cstheme="minorHAnsi"/>
        </w:rPr>
        <w:t xml:space="preserve">tra </w:t>
      </w:r>
      <w:r w:rsidR="00700A44">
        <w:rPr>
          <w:rFonts w:cstheme="minorHAnsi"/>
        </w:rPr>
        <w:t xml:space="preserve">i paesi europei </w:t>
      </w:r>
      <w:r w:rsidR="002E5A2E" w:rsidRPr="0099030D">
        <w:rPr>
          <w:rFonts w:cstheme="minorHAnsi"/>
        </w:rPr>
        <w:t>con il più basso rapporto infermieri/medici</w:t>
      </w:r>
      <w:r w:rsidR="005B5A57">
        <w:rPr>
          <w:rFonts w:cstheme="minorHAnsi"/>
        </w:rPr>
        <w:t xml:space="preserve"> (1,5 a fronte di una media </w:t>
      </w:r>
      <w:r w:rsidR="00A12410">
        <w:rPr>
          <w:rFonts w:cstheme="minorHAnsi"/>
        </w:rPr>
        <w:t xml:space="preserve">europea </w:t>
      </w:r>
      <w:r w:rsidR="005B5A57">
        <w:rPr>
          <w:rFonts w:cstheme="minorHAnsi"/>
        </w:rPr>
        <w:t>di 2,4)</w:t>
      </w:r>
      <w:r w:rsidR="002E5A2E" w:rsidRPr="0099030D">
        <w:rPr>
          <w:rFonts w:eastAsia="Calibri" w:cstheme="minorHAnsi"/>
          <w:bCs/>
        </w:rPr>
        <w:t xml:space="preserve">. Inoltre, </w:t>
      </w:r>
      <w:r w:rsidR="00700A44">
        <w:rPr>
          <w:rFonts w:eastAsia="Calibri" w:cstheme="minorHAnsi"/>
          <w:bCs/>
        </w:rPr>
        <w:t xml:space="preserve">nel 2022 </w:t>
      </w:r>
      <w:r w:rsidR="002E5A2E" w:rsidRPr="0099030D">
        <w:rPr>
          <w:rFonts w:eastAsia="Calibri" w:cstheme="minorHAnsi"/>
          <w:bCs/>
        </w:rPr>
        <w:t xml:space="preserve">i laureati in Scienze Infermieristiche sono stati </w:t>
      </w:r>
      <w:r w:rsidR="00700A44">
        <w:rPr>
          <w:rFonts w:eastAsia="Calibri" w:cstheme="minorHAnsi"/>
          <w:bCs/>
        </w:rPr>
        <w:t xml:space="preserve">appena </w:t>
      </w:r>
      <w:r w:rsidR="002E5A2E" w:rsidRPr="0099030D">
        <w:rPr>
          <w:rFonts w:eastAsia="Calibri" w:cstheme="minorHAnsi"/>
          <w:bCs/>
        </w:rPr>
        <w:t>16,4 per 100.000 abitanti</w:t>
      </w:r>
      <w:r w:rsidR="00C918EF">
        <w:rPr>
          <w:rFonts w:cstheme="minorHAnsi"/>
        </w:rPr>
        <w:t xml:space="preserve"> (</w:t>
      </w:r>
      <w:r w:rsidR="00C918EF" w:rsidRPr="00822D6D">
        <w:rPr>
          <w:rFonts w:cstheme="minorHAnsi"/>
          <w:highlight w:val="yellow"/>
        </w:rPr>
        <w:t xml:space="preserve">figura </w:t>
      </w:r>
      <w:r w:rsidR="00DB14C1">
        <w:rPr>
          <w:rFonts w:cstheme="minorHAnsi"/>
          <w:highlight w:val="yellow"/>
        </w:rPr>
        <w:t>5</w:t>
      </w:r>
      <w:r w:rsidR="00C918EF">
        <w:rPr>
          <w:rFonts w:cstheme="minorHAnsi"/>
        </w:rPr>
        <w:t>)</w:t>
      </w:r>
      <w:r w:rsidR="002E5A2E" w:rsidRPr="0099030D">
        <w:rPr>
          <w:rFonts w:eastAsia="Calibri" w:cstheme="minorHAnsi"/>
          <w:bCs/>
        </w:rPr>
        <w:t xml:space="preserve">, </w:t>
      </w:r>
      <w:r w:rsidR="00832858">
        <w:rPr>
          <w:rFonts w:eastAsia="Calibri" w:cstheme="minorHAnsi"/>
          <w:bCs/>
        </w:rPr>
        <w:t xml:space="preserve">rispetto </w:t>
      </w:r>
      <w:r w:rsidR="002E5A2E" w:rsidRPr="0099030D">
        <w:rPr>
          <w:rFonts w:eastAsia="Calibri" w:cstheme="minorHAnsi"/>
          <w:bCs/>
        </w:rPr>
        <w:t>a</w:t>
      </w:r>
      <w:r w:rsidR="00832858">
        <w:rPr>
          <w:rFonts w:eastAsia="Calibri" w:cstheme="minorHAnsi"/>
          <w:bCs/>
        </w:rPr>
        <w:t xml:space="preserve">d una </w:t>
      </w:r>
      <w:r w:rsidR="002E5A2E" w:rsidRPr="0099030D">
        <w:rPr>
          <w:rFonts w:eastAsia="Calibri" w:cstheme="minorHAnsi"/>
          <w:bCs/>
        </w:rPr>
        <w:t>media OCSE di 44,9</w:t>
      </w:r>
      <w:r w:rsidR="00700A44">
        <w:rPr>
          <w:rFonts w:eastAsia="Calibri" w:cstheme="minorHAnsi"/>
          <w:bCs/>
        </w:rPr>
        <w:t xml:space="preserve">, lasciando l’Italia </w:t>
      </w:r>
      <w:r w:rsidR="002E5A2E" w:rsidRPr="0099030D">
        <w:rPr>
          <w:rFonts w:eastAsia="Calibri" w:cstheme="minorHAnsi"/>
          <w:bCs/>
        </w:rPr>
        <w:t xml:space="preserve">in coda alla classifica prima solo del Lussemburgo e della Colombia. </w:t>
      </w:r>
      <w:r w:rsidR="00700A44">
        <w:rPr>
          <w:rFonts w:eastAsia="Calibri" w:cstheme="minorHAnsi"/>
          <w:bCs/>
        </w:rPr>
        <w:t>P</w:t>
      </w:r>
      <w:r w:rsidR="00832858" w:rsidRPr="0099030D">
        <w:rPr>
          <w:rFonts w:eastAsia="Calibri" w:cstheme="minorHAnsi"/>
          <w:bCs/>
        </w:rPr>
        <w:t xml:space="preserve">er l’Anno Accademico 2024-2025 sono state presentate 21.250 domande </w:t>
      </w:r>
      <w:r w:rsidR="00700A44" w:rsidRPr="0099030D">
        <w:rPr>
          <w:rFonts w:eastAsia="Calibri" w:cstheme="minorHAnsi"/>
          <w:bCs/>
        </w:rPr>
        <w:t>per il Corso di Laurea in Scienze Infermieristiche</w:t>
      </w:r>
      <w:r w:rsidR="00700A44" w:rsidRPr="0099030D" w:rsidDel="00700A44">
        <w:rPr>
          <w:rFonts w:eastAsia="Calibri" w:cstheme="minorHAnsi"/>
          <w:bCs/>
        </w:rPr>
        <w:t xml:space="preserve"> </w:t>
      </w:r>
      <w:r w:rsidR="00700A44">
        <w:rPr>
          <w:rFonts w:eastAsia="Calibri" w:cstheme="minorHAnsi"/>
          <w:bCs/>
        </w:rPr>
        <w:t>a fronte di</w:t>
      </w:r>
      <w:r w:rsidR="00700A44" w:rsidRPr="0099030D">
        <w:rPr>
          <w:rFonts w:eastAsia="Calibri" w:cstheme="minorHAnsi"/>
          <w:bCs/>
        </w:rPr>
        <w:t xml:space="preserve"> </w:t>
      </w:r>
      <w:r w:rsidR="00832858" w:rsidRPr="0099030D">
        <w:rPr>
          <w:rFonts w:eastAsia="Calibri" w:cstheme="minorHAnsi"/>
          <w:bCs/>
        </w:rPr>
        <w:t>20.435 posti</w:t>
      </w:r>
      <w:r w:rsidR="00832858">
        <w:rPr>
          <w:rFonts w:eastAsia="Calibri" w:cstheme="minorHAnsi"/>
          <w:bCs/>
        </w:rPr>
        <w:t>, un dato che dimostra l</w:t>
      </w:r>
      <w:r w:rsidR="002E5A2E" w:rsidRPr="0099030D">
        <w:rPr>
          <w:rFonts w:eastAsia="Calibri" w:cstheme="minorHAnsi"/>
          <w:bCs/>
        </w:rPr>
        <w:t xml:space="preserve">a </w:t>
      </w:r>
      <w:r w:rsidR="00832858">
        <w:rPr>
          <w:rFonts w:eastAsia="Calibri" w:cstheme="minorHAnsi"/>
          <w:bCs/>
        </w:rPr>
        <w:t xml:space="preserve">mancata attrattività </w:t>
      </w:r>
      <w:r w:rsidR="005B5A57">
        <w:rPr>
          <w:rFonts w:eastAsia="Calibri" w:cstheme="minorHAnsi"/>
          <w:bCs/>
        </w:rPr>
        <w:t xml:space="preserve">di </w:t>
      </w:r>
      <w:r w:rsidR="002E5A2E" w:rsidRPr="0099030D">
        <w:rPr>
          <w:rFonts w:eastAsia="Calibri" w:cstheme="minorHAnsi"/>
          <w:bCs/>
        </w:rPr>
        <w:t xml:space="preserve">questa professione. </w:t>
      </w:r>
    </w:p>
    <w:p w14:paraId="431BC3FC" w14:textId="2820B457" w:rsidR="00804D45" w:rsidRPr="0099030D" w:rsidRDefault="000830EF" w:rsidP="00272C11">
      <w:pPr>
        <w:jc w:val="both"/>
        <w:rPr>
          <w:rFonts w:eastAsia="Calibri" w:cstheme="minorHAnsi"/>
          <w:bCs/>
        </w:rPr>
      </w:pPr>
      <w:r w:rsidRPr="0099030D">
        <w:rPr>
          <w:rFonts w:eastAsia="Calibri" w:cstheme="minorHAnsi"/>
          <w:b/>
          <w:bCs/>
        </w:rPr>
        <w:t>L</w:t>
      </w:r>
      <w:r w:rsidR="002E7B7C">
        <w:rPr>
          <w:rFonts w:eastAsia="Calibri" w:cstheme="minorHAnsi"/>
          <w:b/>
          <w:bCs/>
        </w:rPr>
        <w:t xml:space="preserve">ivelli </w:t>
      </w:r>
      <w:r w:rsidRPr="0099030D">
        <w:rPr>
          <w:rFonts w:eastAsia="Calibri" w:cstheme="minorHAnsi"/>
          <w:b/>
          <w:bCs/>
        </w:rPr>
        <w:t>E</w:t>
      </w:r>
      <w:r w:rsidR="002E7B7C">
        <w:rPr>
          <w:rFonts w:eastAsia="Calibri" w:cstheme="minorHAnsi"/>
          <w:b/>
          <w:bCs/>
        </w:rPr>
        <w:t xml:space="preserve">ssenziali di </w:t>
      </w:r>
      <w:r w:rsidRPr="0099030D">
        <w:rPr>
          <w:rFonts w:eastAsia="Calibri" w:cstheme="minorHAnsi"/>
          <w:b/>
          <w:bCs/>
        </w:rPr>
        <w:t>A</w:t>
      </w:r>
      <w:r w:rsidR="002E7B7C">
        <w:rPr>
          <w:rFonts w:eastAsia="Calibri" w:cstheme="minorHAnsi"/>
          <w:b/>
          <w:bCs/>
        </w:rPr>
        <w:t>ssistenza</w:t>
      </w:r>
      <w:r w:rsidRPr="0099030D">
        <w:rPr>
          <w:rFonts w:eastAsia="Calibri" w:cstheme="minorHAnsi"/>
          <w:b/>
          <w:bCs/>
        </w:rPr>
        <w:t xml:space="preserve"> e divario Nord-Sud.</w:t>
      </w:r>
      <w:r w:rsidRPr="0099030D">
        <w:rPr>
          <w:rFonts w:eastAsia="Calibri" w:cstheme="minorHAnsi"/>
          <w:bCs/>
        </w:rPr>
        <w:t xml:space="preserve"> Rispetto ai Livelli Essenziali di Assistenza </w:t>
      </w:r>
      <w:r w:rsidR="002E7B7C">
        <w:rPr>
          <w:rFonts w:eastAsia="Calibri" w:cstheme="minorHAnsi"/>
          <w:bCs/>
        </w:rPr>
        <w:t xml:space="preserve">(LEA) </w:t>
      </w:r>
      <w:r w:rsidR="00CB3EBB">
        <w:rPr>
          <w:rFonts w:eastAsia="Calibri" w:cstheme="minorHAnsi"/>
          <w:bCs/>
        </w:rPr>
        <w:t>–</w:t>
      </w:r>
      <w:r w:rsidR="002E7B7C">
        <w:rPr>
          <w:rFonts w:eastAsia="Calibri" w:cstheme="minorHAnsi"/>
          <w:bCs/>
        </w:rPr>
        <w:t xml:space="preserve"> </w:t>
      </w:r>
      <w:r w:rsidRPr="0099030D">
        <w:rPr>
          <w:rFonts w:cstheme="minorHAnsi"/>
        </w:rPr>
        <w:t>le</w:t>
      </w:r>
      <w:r w:rsidR="00CB3EBB">
        <w:rPr>
          <w:rFonts w:cstheme="minorHAnsi"/>
        </w:rPr>
        <w:t xml:space="preserve"> </w:t>
      </w:r>
      <w:r w:rsidRPr="0099030D">
        <w:rPr>
          <w:rFonts w:cstheme="minorHAnsi"/>
        </w:rPr>
        <w:t>prestazioni e i servizi che il SSN è tenuto a fornire a tutti i cittadini gratuitamente o dietro il pagamento di un ticket</w:t>
      </w:r>
      <w:r w:rsidR="002E7B7C">
        <w:rPr>
          <w:rFonts w:cstheme="minorHAnsi"/>
        </w:rPr>
        <w:t xml:space="preserve"> </w:t>
      </w:r>
      <w:r w:rsidR="001A52DF">
        <w:rPr>
          <w:rFonts w:eastAsia="Calibri" w:cstheme="minorHAnsi"/>
          <w:bCs/>
        </w:rPr>
        <w:t>–</w:t>
      </w:r>
      <w:r w:rsidRPr="0099030D">
        <w:rPr>
          <w:rFonts w:eastAsia="Calibri" w:cstheme="minorHAnsi"/>
          <w:bCs/>
        </w:rPr>
        <w:t xml:space="preserve"> nel 2022 solo 13 Regioni rispettano gli standard essenziali di cura, con un ulteriore aumento del divario Nord-Sud</w:t>
      </w:r>
      <w:r w:rsidR="00465E23">
        <w:rPr>
          <w:rFonts w:cstheme="minorHAnsi"/>
        </w:rPr>
        <w:t xml:space="preserve"> (</w:t>
      </w:r>
      <w:r w:rsidR="00465E23" w:rsidRPr="00822D6D">
        <w:rPr>
          <w:rFonts w:cstheme="minorHAnsi"/>
          <w:highlight w:val="yellow"/>
        </w:rPr>
        <w:t xml:space="preserve">figura </w:t>
      </w:r>
      <w:r w:rsidR="00DB14C1">
        <w:rPr>
          <w:rFonts w:cstheme="minorHAnsi"/>
          <w:highlight w:val="yellow"/>
        </w:rPr>
        <w:t>6</w:t>
      </w:r>
      <w:r w:rsidR="00465E23">
        <w:rPr>
          <w:rFonts w:cstheme="minorHAnsi"/>
        </w:rPr>
        <w:t>)</w:t>
      </w:r>
      <w:r w:rsidRPr="0099030D">
        <w:rPr>
          <w:rFonts w:eastAsia="Calibri" w:cstheme="minorHAnsi"/>
          <w:bCs/>
        </w:rPr>
        <w:t xml:space="preserve">: Puglia e Basilicata </w:t>
      </w:r>
      <w:r>
        <w:rPr>
          <w:rFonts w:eastAsia="Calibri" w:cstheme="minorHAnsi"/>
          <w:bCs/>
        </w:rPr>
        <w:t xml:space="preserve">sono le </w:t>
      </w:r>
      <w:r w:rsidRPr="0099030D">
        <w:rPr>
          <w:rFonts w:eastAsia="Calibri" w:cstheme="minorHAnsi"/>
          <w:bCs/>
        </w:rPr>
        <w:t xml:space="preserve">uniche </w:t>
      </w:r>
      <w:r>
        <w:rPr>
          <w:rFonts w:eastAsia="Calibri" w:cstheme="minorHAnsi"/>
          <w:bCs/>
        </w:rPr>
        <w:t xml:space="preserve">Regioni </w:t>
      </w:r>
      <w:r w:rsidRPr="0099030D">
        <w:rPr>
          <w:rFonts w:eastAsia="Calibri" w:cstheme="minorHAnsi"/>
          <w:bCs/>
        </w:rPr>
        <w:t xml:space="preserve">promosse al Sud, ma </w:t>
      </w:r>
      <w:r>
        <w:rPr>
          <w:rFonts w:eastAsia="Calibri" w:cstheme="minorHAnsi"/>
          <w:bCs/>
        </w:rPr>
        <w:t xml:space="preserve">comunque </w:t>
      </w:r>
      <w:r w:rsidRPr="0099030D">
        <w:rPr>
          <w:rFonts w:eastAsia="Calibri" w:cstheme="minorHAnsi"/>
          <w:bCs/>
        </w:rPr>
        <w:t xml:space="preserve">in posizioni di coda. </w:t>
      </w:r>
      <w:r w:rsidRPr="0099030D">
        <w:rPr>
          <w:rFonts w:cstheme="minorHAnsi"/>
        </w:rPr>
        <w:t>«</w:t>
      </w:r>
      <w:r w:rsidR="00684E36">
        <w:rPr>
          <w:rFonts w:cstheme="minorHAnsi"/>
        </w:rPr>
        <w:t xml:space="preserve">Siamo di fronte </w:t>
      </w:r>
      <w:r w:rsidRPr="0099030D">
        <w:rPr>
          <w:rFonts w:cstheme="minorHAnsi"/>
        </w:rPr>
        <w:t xml:space="preserve">– commenta Cartabellotta – </w:t>
      </w:r>
      <w:r w:rsidR="00804D45">
        <w:rPr>
          <w:rFonts w:cstheme="minorHAnsi"/>
        </w:rPr>
        <w:t xml:space="preserve">ad </w:t>
      </w:r>
      <w:r w:rsidR="00684E36">
        <w:rPr>
          <w:rFonts w:cstheme="minorHAnsi"/>
        </w:rPr>
        <w:t xml:space="preserve">una vera e propria </w:t>
      </w:r>
      <w:r w:rsidR="00684E36" w:rsidRPr="0099030D">
        <w:rPr>
          <w:rFonts w:cstheme="minorHAnsi"/>
        </w:rPr>
        <w:t xml:space="preserve">frattura strutturale Nord-Sud </w:t>
      </w:r>
      <w:r w:rsidR="00684E36">
        <w:rPr>
          <w:rFonts w:cstheme="minorHAnsi"/>
        </w:rPr>
        <w:t>nell’esigibilità del diritto alla tutela della salute</w:t>
      </w:r>
      <w:r w:rsidR="00804D45">
        <w:rPr>
          <w:rFonts w:cstheme="minorHAnsi"/>
        </w:rPr>
        <w:t xml:space="preserve">. </w:t>
      </w:r>
      <w:r w:rsidR="001A52DF">
        <w:rPr>
          <w:rFonts w:cstheme="minorHAnsi"/>
        </w:rPr>
        <w:t>A questo quadro si aggiunge l</w:t>
      </w:r>
      <w:r w:rsidR="00804D45">
        <w:rPr>
          <w:rFonts w:cstheme="minorHAnsi"/>
        </w:rPr>
        <w:t>a</w:t>
      </w:r>
      <w:r w:rsidRPr="0099030D">
        <w:rPr>
          <w:rFonts w:eastAsia="Calibri" w:cstheme="minorHAnsi"/>
          <w:bCs/>
        </w:rPr>
        <w:t xml:space="preserve"> legge sull’autonomia differenziata</w:t>
      </w:r>
      <w:r w:rsidR="001A52DF">
        <w:rPr>
          <w:rFonts w:eastAsia="Calibri" w:cstheme="minorHAnsi"/>
          <w:bCs/>
        </w:rPr>
        <w:t>, che</w:t>
      </w:r>
      <w:r w:rsidRPr="0099030D">
        <w:rPr>
          <w:rFonts w:eastAsia="Calibri" w:cstheme="minorHAnsi"/>
          <w:bCs/>
        </w:rPr>
        <w:t xml:space="preserve"> affonderà definitivamente la sanità del Mezzogiorno</w:t>
      </w:r>
      <w:r w:rsidR="00804D45">
        <w:rPr>
          <w:rFonts w:eastAsia="Calibri" w:cstheme="minorHAnsi"/>
          <w:bCs/>
        </w:rPr>
        <w:t xml:space="preserve">, </w:t>
      </w:r>
      <w:r w:rsidR="004E1297">
        <w:rPr>
          <w:rFonts w:eastAsia="Calibri" w:cstheme="minorHAnsi"/>
          <w:bCs/>
        </w:rPr>
        <w:t>assestando</w:t>
      </w:r>
      <w:r w:rsidR="004E1297" w:rsidRPr="0099030D">
        <w:rPr>
          <w:rFonts w:eastAsia="Calibri" w:cstheme="minorHAnsi"/>
          <w:bCs/>
        </w:rPr>
        <w:t xml:space="preserve"> </w:t>
      </w:r>
      <w:r w:rsidRPr="0099030D">
        <w:rPr>
          <w:rFonts w:eastAsia="Calibri" w:cstheme="minorHAnsi"/>
          <w:bCs/>
        </w:rPr>
        <w:t xml:space="preserve">il </w:t>
      </w:r>
      <w:r w:rsidRPr="00516625">
        <w:rPr>
          <w:rFonts w:eastAsia="Calibri" w:cstheme="minorHAnsi"/>
          <w:bCs/>
        </w:rPr>
        <w:t xml:space="preserve">colpo </w:t>
      </w:r>
      <w:r w:rsidRPr="0099030D">
        <w:rPr>
          <w:rFonts w:eastAsia="Calibri" w:cstheme="minorHAnsi"/>
          <w:bCs/>
        </w:rPr>
        <w:t>di grazia al SSN</w:t>
      </w:r>
      <w:r w:rsidR="00804D45">
        <w:rPr>
          <w:rFonts w:eastAsia="Calibri" w:cstheme="minorHAnsi"/>
          <w:bCs/>
        </w:rPr>
        <w:t xml:space="preserve"> e</w:t>
      </w:r>
      <w:r w:rsidRPr="0099030D">
        <w:rPr>
          <w:rFonts w:eastAsia="Calibri" w:cstheme="minorHAnsi"/>
          <w:bCs/>
        </w:rPr>
        <w:t xml:space="preserve"> </w:t>
      </w:r>
      <w:r w:rsidR="00804D45">
        <w:rPr>
          <w:rFonts w:eastAsia="Calibri" w:cstheme="minorHAnsi"/>
          <w:bCs/>
        </w:rPr>
        <w:t>innescando</w:t>
      </w:r>
      <w:r w:rsidR="00804D45" w:rsidRPr="0099030D">
        <w:rPr>
          <w:rFonts w:eastAsia="Calibri" w:cstheme="minorHAnsi"/>
          <w:bCs/>
        </w:rPr>
        <w:t xml:space="preserve"> </w:t>
      </w:r>
      <w:r w:rsidRPr="0099030D">
        <w:rPr>
          <w:rFonts w:eastAsia="Calibri" w:cstheme="minorHAnsi"/>
          <w:bCs/>
        </w:rPr>
        <w:t>un disastro sanitario, economico e sociale senza precedenti</w:t>
      </w:r>
      <w:r w:rsidR="00804D45" w:rsidRPr="00804D45">
        <w:t xml:space="preserve"> </w:t>
      </w:r>
      <w:r w:rsidR="004E1297">
        <w:t xml:space="preserve">che avrà conseguenze devastanti per </w:t>
      </w:r>
      <w:r w:rsidR="00804D45">
        <w:t>milioni di persone</w:t>
      </w:r>
      <w:r w:rsidRPr="0099030D">
        <w:rPr>
          <w:rFonts w:cstheme="minorHAnsi"/>
        </w:rPr>
        <w:t>»</w:t>
      </w:r>
      <w:r w:rsidRPr="0099030D">
        <w:rPr>
          <w:rFonts w:eastAsia="Calibri" w:cstheme="minorHAnsi"/>
          <w:bCs/>
        </w:rPr>
        <w:t>.</w:t>
      </w:r>
    </w:p>
    <w:p w14:paraId="1B3A609B" w14:textId="3A89B812" w:rsidR="000830EF" w:rsidRPr="0099030D" w:rsidRDefault="000830EF" w:rsidP="00272C11">
      <w:pPr>
        <w:jc w:val="both"/>
        <w:rPr>
          <w:rFonts w:eastAsia="Calibri" w:cstheme="minorHAnsi"/>
          <w:bCs/>
        </w:rPr>
      </w:pPr>
      <w:r w:rsidRPr="0099030D">
        <w:rPr>
          <w:rFonts w:eastAsia="Calibri" w:cstheme="minorHAnsi"/>
          <w:b/>
          <w:bCs/>
        </w:rPr>
        <w:t>Mobilità sanitaria e conseguenze economiche.</w:t>
      </w:r>
      <w:r w:rsidRPr="0099030D">
        <w:rPr>
          <w:rFonts w:eastAsia="Calibri" w:cstheme="minorHAnsi"/>
          <w:bCs/>
        </w:rPr>
        <w:t xml:space="preserve"> Anche </w:t>
      </w:r>
      <w:r>
        <w:rPr>
          <w:rFonts w:eastAsia="Calibri" w:cstheme="minorHAnsi"/>
          <w:bCs/>
        </w:rPr>
        <w:t>la</w:t>
      </w:r>
      <w:r w:rsidRPr="0099030D">
        <w:rPr>
          <w:rFonts w:eastAsia="Calibri" w:cstheme="minorHAnsi"/>
          <w:bCs/>
        </w:rPr>
        <w:t xml:space="preserve"> mobilità sanitaria </w:t>
      </w:r>
      <w:r>
        <w:rPr>
          <w:rFonts w:eastAsia="Calibri" w:cstheme="minorHAnsi"/>
          <w:bCs/>
        </w:rPr>
        <w:t>evidenzia</w:t>
      </w:r>
      <w:r w:rsidRPr="0099030D">
        <w:rPr>
          <w:rFonts w:eastAsia="Calibri" w:cstheme="minorHAnsi"/>
          <w:bCs/>
        </w:rPr>
        <w:t xml:space="preserve"> la forte capacità attrattiva delle Regioni del Nord, </w:t>
      </w:r>
      <w:r w:rsidR="006A6DFF">
        <w:rPr>
          <w:rFonts w:eastAsia="Calibri" w:cstheme="minorHAnsi"/>
          <w:bCs/>
        </w:rPr>
        <w:t>con i</w:t>
      </w:r>
      <w:r w:rsidR="00D716D0">
        <w:rPr>
          <w:rFonts w:eastAsia="Calibri" w:cstheme="minorHAnsi"/>
          <w:bCs/>
        </w:rPr>
        <w:t xml:space="preserve"> residenti </w:t>
      </w:r>
      <w:r w:rsidR="006A6DFF">
        <w:rPr>
          <w:rFonts w:eastAsia="Calibri" w:cstheme="minorHAnsi"/>
          <w:bCs/>
        </w:rPr>
        <w:t xml:space="preserve">delle </w:t>
      </w:r>
      <w:r w:rsidRPr="0099030D">
        <w:rPr>
          <w:rFonts w:eastAsia="Calibri" w:cstheme="minorHAnsi"/>
          <w:bCs/>
        </w:rPr>
        <w:t>Regioni del Centro-Sud</w:t>
      </w:r>
      <w:r w:rsidR="00D716D0">
        <w:rPr>
          <w:rFonts w:eastAsia="Calibri" w:cstheme="minorHAnsi"/>
          <w:bCs/>
        </w:rPr>
        <w:t xml:space="preserve"> </w:t>
      </w:r>
      <w:r w:rsidR="006A6DFF">
        <w:rPr>
          <w:rFonts w:eastAsia="Calibri" w:cstheme="minorHAnsi"/>
          <w:bCs/>
        </w:rPr>
        <w:t xml:space="preserve">spesso costretti a </w:t>
      </w:r>
      <w:r w:rsidR="00D716D0">
        <w:rPr>
          <w:rFonts w:eastAsia="Calibri" w:cstheme="minorHAnsi"/>
          <w:bCs/>
        </w:rPr>
        <w:t>spostarsi in cerca di cure migliori</w:t>
      </w:r>
      <w:r w:rsidRPr="0099030D">
        <w:rPr>
          <w:rFonts w:eastAsia="Calibri" w:cstheme="minorHAnsi"/>
          <w:bCs/>
        </w:rPr>
        <w:t xml:space="preserve">. In particolare nel decennio 2012-2021 </w:t>
      </w:r>
      <w:r w:rsidR="00D716D0" w:rsidRPr="0099030D">
        <w:rPr>
          <w:rFonts w:eastAsia="Calibri" w:cstheme="minorHAnsi"/>
          <w:bCs/>
        </w:rPr>
        <w:t xml:space="preserve">le Regioni del Mezzogiorno </w:t>
      </w:r>
      <w:r w:rsidRPr="0099030D">
        <w:rPr>
          <w:rFonts w:eastAsia="Calibri" w:cstheme="minorHAnsi"/>
          <w:bCs/>
        </w:rPr>
        <w:t>hanno accumulato un saldo negativo pari a € 10,96 miliardi</w:t>
      </w:r>
      <w:r w:rsidR="0063057C">
        <w:rPr>
          <w:rFonts w:cstheme="minorHAnsi"/>
        </w:rPr>
        <w:t xml:space="preserve"> (</w:t>
      </w:r>
      <w:r w:rsidR="0063057C" w:rsidRPr="00822D6D">
        <w:rPr>
          <w:rFonts w:cstheme="minorHAnsi"/>
          <w:highlight w:val="yellow"/>
        </w:rPr>
        <w:t>figura</w:t>
      </w:r>
      <w:r w:rsidR="00DB14C1">
        <w:rPr>
          <w:rFonts w:cstheme="minorHAnsi"/>
          <w:highlight w:val="yellow"/>
        </w:rPr>
        <w:t xml:space="preserve"> 7</w:t>
      </w:r>
      <w:r w:rsidR="0063057C">
        <w:rPr>
          <w:rFonts w:cstheme="minorHAnsi"/>
        </w:rPr>
        <w:t>)</w:t>
      </w:r>
      <w:r w:rsidRPr="0099030D">
        <w:rPr>
          <w:rFonts w:eastAsia="Calibri" w:cstheme="minorHAnsi"/>
          <w:bCs/>
        </w:rPr>
        <w:t xml:space="preserve">. </w:t>
      </w:r>
      <w:r w:rsidRPr="0099030D">
        <w:rPr>
          <w:rFonts w:cstheme="minorHAnsi"/>
        </w:rPr>
        <w:t>«</w:t>
      </w:r>
      <w:r w:rsidRPr="0099030D">
        <w:rPr>
          <w:rFonts w:eastAsia="Calibri" w:cstheme="minorHAnsi"/>
          <w:bCs/>
        </w:rPr>
        <w:t xml:space="preserve">L'aumento della migrazione sanitaria ha effetti </w:t>
      </w:r>
      <w:r w:rsidR="00324DE2">
        <w:rPr>
          <w:rFonts w:eastAsia="Calibri" w:cstheme="minorHAnsi"/>
          <w:bCs/>
        </w:rPr>
        <w:t xml:space="preserve">economici </w:t>
      </w:r>
      <w:r w:rsidRPr="0099030D">
        <w:rPr>
          <w:rFonts w:eastAsia="Calibri" w:cstheme="minorHAnsi"/>
          <w:bCs/>
        </w:rPr>
        <w:t xml:space="preserve">devastanti non solo sulle famiglie – aggiunge Cartabellotta </w:t>
      </w:r>
      <w:r w:rsidR="006A6DFF" w:rsidRPr="0099030D">
        <w:rPr>
          <w:rFonts w:eastAsia="Calibri" w:cstheme="minorHAnsi"/>
          <w:bCs/>
        </w:rPr>
        <w:t>–</w:t>
      </w:r>
      <w:r w:rsidRPr="0099030D">
        <w:rPr>
          <w:rFonts w:eastAsia="Calibri" w:cstheme="minorHAnsi"/>
          <w:bCs/>
        </w:rPr>
        <w:t xml:space="preserve"> ma anche sui bilanci delle Regioni del </w:t>
      </w:r>
      <w:r w:rsidR="00324DE2">
        <w:rPr>
          <w:rFonts w:eastAsia="Calibri" w:cstheme="minorHAnsi"/>
          <w:bCs/>
        </w:rPr>
        <w:t>Mezzogiorno</w:t>
      </w:r>
      <w:r w:rsidRPr="0099030D">
        <w:rPr>
          <w:rFonts w:eastAsia="Calibri" w:cstheme="minorHAnsi"/>
          <w:bCs/>
        </w:rPr>
        <w:t xml:space="preserve">, </w:t>
      </w:r>
      <w:r>
        <w:rPr>
          <w:rFonts w:eastAsia="Calibri" w:cstheme="minorHAnsi"/>
          <w:bCs/>
        </w:rPr>
        <w:t>che risultano</w:t>
      </w:r>
      <w:r w:rsidRPr="0099030D">
        <w:rPr>
          <w:rFonts w:eastAsia="Calibri" w:cstheme="minorHAnsi"/>
          <w:bCs/>
        </w:rPr>
        <w:t xml:space="preserve"> ulteriormente impoverite</w:t>
      </w:r>
      <w:r w:rsidRPr="0099030D">
        <w:rPr>
          <w:rFonts w:cstheme="minorHAnsi"/>
        </w:rPr>
        <w:t>»</w:t>
      </w:r>
      <w:r w:rsidRPr="0099030D">
        <w:rPr>
          <w:rFonts w:eastAsia="Calibri" w:cstheme="minorHAnsi"/>
          <w:bCs/>
        </w:rPr>
        <w:t>.</w:t>
      </w:r>
    </w:p>
    <w:p w14:paraId="2998EDC8" w14:textId="2F87640F" w:rsidR="005B7915" w:rsidRPr="0099030D" w:rsidRDefault="000830EF" w:rsidP="002854AD">
      <w:pPr>
        <w:jc w:val="both"/>
        <w:rPr>
          <w:rFonts w:eastAsia="Calibri" w:cstheme="minorHAnsi"/>
          <w:bCs/>
        </w:rPr>
      </w:pPr>
      <w:r w:rsidRPr="0099030D">
        <w:rPr>
          <w:rFonts w:eastAsia="Calibri" w:cstheme="minorHAnsi"/>
          <w:b/>
          <w:bCs/>
        </w:rPr>
        <w:t>Stato di avanzamento del PNRR.</w:t>
      </w:r>
      <w:r w:rsidRPr="0099030D">
        <w:rPr>
          <w:rFonts w:eastAsia="Calibri" w:cstheme="minorHAnsi"/>
          <w:bCs/>
        </w:rPr>
        <w:t xml:space="preserve"> </w:t>
      </w:r>
      <w:r w:rsidR="000673AF">
        <w:rPr>
          <w:rFonts w:eastAsia="Calibri" w:cstheme="minorHAnsi"/>
          <w:bCs/>
        </w:rPr>
        <w:t>A</w:t>
      </w:r>
      <w:r w:rsidRPr="0099030D">
        <w:rPr>
          <w:rFonts w:eastAsia="Calibri" w:cstheme="minorHAnsi"/>
          <w:bCs/>
        </w:rPr>
        <w:t>l 30 giugno 2024 sono stati raggiunti i target europei che condizionano il pagamento delle rate</w:t>
      </w:r>
      <w:r w:rsidR="002E7B7C">
        <w:rPr>
          <w:rFonts w:eastAsia="Calibri" w:cstheme="minorHAnsi"/>
          <w:bCs/>
        </w:rPr>
        <w:t xml:space="preserve"> all’Italia</w:t>
      </w:r>
      <w:r w:rsidRPr="0099030D">
        <w:rPr>
          <w:rFonts w:eastAsia="Calibri" w:cstheme="minorHAnsi"/>
          <w:bCs/>
        </w:rPr>
        <w:t xml:space="preserve">. </w:t>
      </w:r>
      <w:r w:rsidR="000673AF" w:rsidRPr="0099030D">
        <w:rPr>
          <w:rFonts w:cstheme="minorHAnsi"/>
        </w:rPr>
        <w:t>«</w:t>
      </w:r>
      <w:r w:rsidR="000673AF">
        <w:rPr>
          <w:rFonts w:cstheme="minorHAnsi"/>
        </w:rPr>
        <w:t>Tuttavia</w:t>
      </w:r>
      <w:r w:rsidR="005B7915">
        <w:rPr>
          <w:rFonts w:cstheme="minorHAnsi"/>
        </w:rPr>
        <w:t>,</w:t>
      </w:r>
      <w:r w:rsidR="000673AF">
        <w:rPr>
          <w:rFonts w:cstheme="minorHAnsi"/>
        </w:rPr>
        <w:t xml:space="preserve"> </w:t>
      </w:r>
      <w:r w:rsidR="000673AF">
        <w:rPr>
          <w:rFonts w:eastAsia="Calibri" w:cstheme="minorHAnsi"/>
          <w:bCs/>
        </w:rPr>
        <w:t xml:space="preserve">effettuata la “messa a terra” dei progetti </w:t>
      </w:r>
      <w:r w:rsidR="005B7915" w:rsidRPr="0099030D">
        <w:rPr>
          <w:rFonts w:eastAsia="Calibri" w:cstheme="minorHAnsi"/>
          <w:bCs/>
        </w:rPr>
        <w:t xml:space="preserve">– </w:t>
      </w:r>
      <w:r w:rsidR="005B7915">
        <w:rPr>
          <w:rFonts w:eastAsia="Calibri" w:cstheme="minorHAnsi"/>
          <w:bCs/>
        </w:rPr>
        <w:t xml:space="preserve">spiega il Presidente </w:t>
      </w:r>
      <w:r w:rsidR="005B7915" w:rsidRPr="0099030D">
        <w:rPr>
          <w:rFonts w:eastAsia="Calibri" w:cstheme="minorHAnsi"/>
          <w:bCs/>
        </w:rPr>
        <w:t xml:space="preserve">– </w:t>
      </w:r>
      <w:r w:rsidR="000673AF">
        <w:rPr>
          <w:rFonts w:eastAsia="Calibri" w:cstheme="minorHAnsi"/>
          <w:bCs/>
        </w:rPr>
        <w:t xml:space="preserve">la loro attuazione </w:t>
      </w:r>
      <w:r w:rsidR="005B7915">
        <w:rPr>
          <w:rFonts w:eastAsia="Calibri" w:cstheme="minorHAnsi"/>
          <w:bCs/>
        </w:rPr>
        <w:t xml:space="preserve">già </w:t>
      </w:r>
      <w:r w:rsidR="000673AF">
        <w:rPr>
          <w:rFonts w:eastAsia="Calibri" w:cstheme="minorHAnsi"/>
          <w:bCs/>
        </w:rPr>
        <w:t xml:space="preserve">risente delle diseguaglianze regionali, in particolare tra Nord e Sud </w:t>
      </w:r>
      <w:r w:rsidR="00F81CCF">
        <w:rPr>
          <w:rFonts w:eastAsia="Calibri" w:cstheme="minorHAnsi"/>
          <w:bCs/>
        </w:rPr>
        <w:t>del Paese</w:t>
      </w:r>
      <w:r w:rsidR="000673AF" w:rsidRPr="0099030D">
        <w:rPr>
          <w:rFonts w:cstheme="minorHAnsi"/>
        </w:rPr>
        <w:t>»</w:t>
      </w:r>
      <w:r w:rsidR="000673AF" w:rsidRPr="0099030D">
        <w:rPr>
          <w:rFonts w:eastAsia="Calibri" w:cstheme="minorHAnsi"/>
          <w:bCs/>
        </w:rPr>
        <w:t>.</w:t>
      </w:r>
      <w:r w:rsidR="00F81CCF">
        <w:rPr>
          <w:rFonts w:eastAsia="Calibri" w:cstheme="minorHAnsi"/>
          <w:bCs/>
        </w:rPr>
        <w:t xml:space="preserve"> </w:t>
      </w:r>
      <w:r w:rsidR="000673AF">
        <w:rPr>
          <w:rFonts w:eastAsia="Calibri" w:cstheme="minorHAnsi"/>
          <w:bCs/>
        </w:rPr>
        <w:t>I</w:t>
      </w:r>
      <w:r w:rsidRPr="0099030D">
        <w:rPr>
          <w:rFonts w:eastAsia="Calibri" w:cstheme="minorHAnsi"/>
          <w:bCs/>
        </w:rPr>
        <w:t xml:space="preserve"> risultati preliminari del 4° </w:t>
      </w:r>
      <w:r w:rsidR="00731D2D">
        <w:rPr>
          <w:rFonts w:eastAsia="Calibri" w:cstheme="minorHAnsi"/>
          <w:bCs/>
        </w:rPr>
        <w:t>M</w:t>
      </w:r>
      <w:r w:rsidRPr="0099030D">
        <w:rPr>
          <w:rFonts w:eastAsia="Calibri" w:cstheme="minorHAnsi"/>
          <w:bCs/>
        </w:rPr>
        <w:t xml:space="preserve">onitoraggio Agenas sul DM 77/2022 documentano che, al 30 giugno 2024 </w:t>
      </w:r>
      <w:r w:rsidR="00A034C8" w:rsidRPr="0099030D">
        <w:rPr>
          <w:rFonts w:cstheme="minorHAnsi"/>
        </w:rPr>
        <w:t xml:space="preserve">sono stati </w:t>
      </w:r>
      <w:r w:rsidR="00A034C8" w:rsidRPr="0099030D">
        <w:rPr>
          <w:rFonts w:cstheme="minorHAnsi"/>
        </w:rPr>
        <w:lastRenderedPageBreak/>
        <w:t xml:space="preserve">dichiarati attivi dalle Regioni </w:t>
      </w:r>
      <w:r w:rsidRPr="0099030D">
        <w:rPr>
          <w:rFonts w:cstheme="minorHAnsi"/>
        </w:rPr>
        <w:t>il 19% delle Case di Comunità (268 su 1.421)</w:t>
      </w:r>
      <w:r w:rsidR="0063057C">
        <w:rPr>
          <w:rFonts w:cstheme="minorHAnsi"/>
        </w:rPr>
        <w:t xml:space="preserve"> (</w:t>
      </w:r>
      <w:r w:rsidR="0063057C">
        <w:rPr>
          <w:rFonts w:cstheme="minorHAnsi"/>
          <w:highlight w:val="yellow"/>
        </w:rPr>
        <w:t>tabella</w:t>
      </w:r>
      <w:r w:rsidR="0063057C" w:rsidRPr="00822D6D">
        <w:rPr>
          <w:rFonts w:cstheme="minorHAnsi"/>
          <w:highlight w:val="yellow"/>
        </w:rPr>
        <w:t xml:space="preserve"> </w:t>
      </w:r>
      <w:r w:rsidR="00DB14C1">
        <w:rPr>
          <w:rFonts w:cstheme="minorHAnsi"/>
          <w:highlight w:val="yellow"/>
        </w:rPr>
        <w:t>3</w:t>
      </w:r>
      <w:r w:rsidR="0063057C">
        <w:rPr>
          <w:rFonts w:cstheme="minorHAnsi"/>
        </w:rPr>
        <w:t>)</w:t>
      </w:r>
      <w:r w:rsidRPr="0099030D">
        <w:rPr>
          <w:rFonts w:cstheme="minorHAnsi"/>
        </w:rPr>
        <w:t>, il 59% delle Centrali Operative Territoriali (362 su 611)</w:t>
      </w:r>
      <w:r w:rsidR="0063057C">
        <w:rPr>
          <w:rFonts w:cstheme="minorHAnsi"/>
        </w:rPr>
        <w:t xml:space="preserve"> (</w:t>
      </w:r>
      <w:r w:rsidR="0063057C">
        <w:rPr>
          <w:rFonts w:cstheme="minorHAnsi"/>
          <w:highlight w:val="yellow"/>
        </w:rPr>
        <w:t>tabella</w:t>
      </w:r>
      <w:r w:rsidR="0063057C" w:rsidRPr="00822D6D">
        <w:rPr>
          <w:rFonts w:cstheme="minorHAnsi"/>
          <w:highlight w:val="yellow"/>
        </w:rPr>
        <w:t xml:space="preserve"> </w:t>
      </w:r>
      <w:r w:rsidR="00DB14C1">
        <w:rPr>
          <w:rFonts w:cstheme="minorHAnsi"/>
          <w:highlight w:val="yellow"/>
        </w:rPr>
        <w:t>4</w:t>
      </w:r>
      <w:r w:rsidR="0063057C">
        <w:rPr>
          <w:rFonts w:cstheme="minorHAnsi"/>
        </w:rPr>
        <w:t>)</w:t>
      </w:r>
      <w:r w:rsidRPr="0099030D">
        <w:rPr>
          <w:rFonts w:cstheme="minorHAnsi"/>
        </w:rPr>
        <w:t xml:space="preserve"> e il 13% degli Ospedali di Comunità (56 su 429)</w:t>
      </w:r>
      <w:r w:rsidR="0063057C">
        <w:rPr>
          <w:rFonts w:cstheme="minorHAnsi"/>
        </w:rPr>
        <w:t xml:space="preserve"> (</w:t>
      </w:r>
      <w:r w:rsidR="0063057C">
        <w:rPr>
          <w:rFonts w:cstheme="minorHAnsi"/>
          <w:highlight w:val="yellow"/>
        </w:rPr>
        <w:t>tabella</w:t>
      </w:r>
      <w:r w:rsidR="0063057C" w:rsidRPr="00822D6D">
        <w:rPr>
          <w:rFonts w:cstheme="minorHAnsi"/>
          <w:highlight w:val="yellow"/>
        </w:rPr>
        <w:t xml:space="preserve"> </w:t>
      </w:r>
      <w:r w:rsidR="00DB14C1">
        <w:rPr>
          <w:rFonts w:cstheme="minorHAnsi"/>
          <w:highlight w:val="yellow"/>
        </w:rPr>
        <w:t>5</w:t>
      </w:r>
      <w:r w:rsidR="0063057C">
        <w:rPr>
          <w:rFonts w:cstheme="minorHAnsi"/>
        </w:rPr>
        <w:t>)</w:t>
      </w:r>
      <w:r w:rsidRPr="0099030D">
        <w:rPr>
          <w:rFonts w:cstheme="minorHAnsi"/>
        </w:rPr>
        <w:t xml:space="preserve">, </w:t>
      </w:r>
      <w:r>
        <w:rPr>
          <w:rFonts w:eastAsia="Calibri" w:cstheme="minorHAnsi"/>
          <w:bCs/>
        </w:rPr>
        <w:t>con ritardi particolarmente marcati nel</w:t>
      </w:r>
      <w:r w:rsidRPr="0099030D">
        <w:rPr>
          <w:rFonts w:eastAsia="Calibri" w:cstheme="minorHAnsi"/>
          <w:bCs/>
        </w:rPr>
        <w:t xml:space="preserve"> Mezzogiorno. Il target intermedio sulla percentuale di over 65 in assistenza domiciliare è stato raggiunto a livello nazionale</w:t>
      </w:r>
      <w:r w:rsidR="002E7B7C">
        <w:rPr>
          <w:rFonts w:eastAsia="Calibri" w:cstheme="minorHAnsi"/>
          <w:bCs/>
        </w:rPr>
        <w:t xml:space="preserve"> e in tutte le Regioni tranne </w:t>
      </w:r>
      <w:r w:rsidR="009307FB">
        <w:rPr>
          <w:rFonts w:eastAsia="Calibri" w:cstheme="minorHAnsi"/>
          <w:bCs/>
        </w:rPr>
        <w:t xml:space="preserve">che </w:t>
      </w:r>
      <w:r w:rsidR="000673AF">
        <w:rPr>
          <w:rFonts w:eastAsia="Calibri" w:cstheme="minorHAnsi"/>
          <w:bCs/>
        </w:rPr>
        <w:t>in tre Regioni del Sud</w:t>
      </w:r>
      <w:r w:rsidRPr="0099030D">
        <w:rPr>
          <w:rFonts w:eastAsia="Calibri" w:cstheme="minorHAnsi"/>
          <w:bCs/>
        </w:rPr>
        <w:t>. Al 31 luglio 2024 sono stati realizzati il 52% dei posti letto di terapia intensiva</w:t>
      </w:r>
      <w:r w:rsidR="0063057C">
        <w:rPr>
          <w:rFonts w:cstheme="minorHAnsi"/>
        </w:rPr>
        <w:t xml:space="preserve"> (</w:t>
      </w:r>
      <w:r w:rsidR="0063057C">
        <w:rPr>
          <w:rFonts w:cstheme="minorHAnsi"/>
          <w:highlight w:val="yellow"/>
        </w:rPr>
        <w:t>figura</w:t>
      </w:r>
      <w:r w:rsidR="0063057C" w:rsidRPr="00822D6D">
        <w:rPr>
          <w:rFonts w:cstheme="minorHAnsi"/>
          <w:highlight w:val="yellow"/>
        </w:rPr>
        <w:t xml:space="preserve"> </w:t>
      </w:r>
      <w:r w:rsidR="00DB14C1">
        <w:rPr>
          <w:rFonts w:cstheme="minorHAnsi"/>
          <w:highlight w:val="yellow"/>
        </w:rPr>
        <w:t>8</w:t>
      </w:r>
      <w:r w:rsidR="0063057C">
        <w:rPr>
          <w:rFonts w:cstheme="minorHAnsi"/>
        </w:rPr>
        <w:t>)</w:t>
      </w:r>
      <w:r w:rsidRPr="0099030D">
        <w:rPr>
          <w:rFonts w:eastAsia="Calibri" w:cstheme="minorHAnsi"/>
          <w:bCs/>
        </w:rPr>
        <w:t xml:space="preserve"> e il 50% di quelli di terapia sub-intensiva</w:t>
      </w:r>
      <w:r w:rsidR="0063057C">
        <w:rPr>
          <w:rFonts w:cstheme="minorHAnsi"/>
        </w:rPr>
        <w:t xml:space="preserve"> (</w:t>
      </w:r>
      <w:r w:rsidR="0063057C">
        <w:rPr>
          <w:rFonts w:cstheme="minorHAnsi"/>
          <w:highlight w:val="yellow"/>
        </w:rPr>
        <w:t>figura 9</w:t>
      </w:r>
      <w:r w:rsidR="0063057C">
        <w:rPr>
          <w:rFonts w:cstheme="minorHAnsi"/>
        </w:rPr>
        <w:t>)</w:t>
      </w:r>
      <w:r w:rsidRPr="0099030D">
        <w:rPr>
          <w:rFonts w:eastAsia="Calibri" w:cstheme="minorHAnsi"/>
          <w:bCs/>
        </w:rPr>
        <w:t xml:space="preserve">, con </w:t>
      </w:r>
      <w:r w:rsidR="00F81CCF">
        <w:rPr>
          <w:rFonts w:eastAsia="Calibri" w:cstheme="minorHAnsi"/>
          <w:bCs/>
        </w:rPr>
        <w:t>nette</w:t>
      </w:r>
      <w:r w:rsidRPr="0099030D">
        <w:rPr>
          <w:rFonts w:eastAsia="Calibri" w:cstheme="minorHAnsi"/>
          <w:bCs/>
        </w:rPr>
        <w:t xml:space="preserve"> differenze regionali.</w:t>
      </w:r>
      <w:r w:rsidR="000673AF">
        <w:rPr>
          <w:rFonts w:eastAsia="Calibri" w:cstheme="minorHAnsi"/>
          <w:bCs/>
        </w:rPr>
        <w:t xml:space="preserve"> </w:t>
      </w:r>
      <w:r w:rsidR="000673AF" w:rsidRPr="0099030D">
        <w:rPr>
          <w:rFonts w:cstheme="minorHAnsi"/>
        </w:rPr>
        <w:t>«</w:t>
      </w:r>
      <w:r w:rsidR="000673AF" w:rsidRPr="0099030D">
        <w:rPr>
          <w:rFonts w:eastAsia="Calibri" w:cstheme="minorHAnsi"/>
          <w:bCs/>
        </w:rPr>
        <w:t>La Missione Salute del PNRR</w:t>
      </w:r>
      <w:r w:rsidR="000673AF">
        <w:rPr>
          <w:rFonts w:eastAsia="Calibri" w:cstheme="minorHAnsi"/>
          <w:bCs/>
        </w:rPr>
        <w:t xml:space="preserve"> </w:t>
      </w:r>
      <w:r w:rsidR="000673AF" w:rsidRPr="0099030D">
        <w:rPr>
          <w:rFonts w:eastAsia="Calibri" w:cstheme="minorHAnsi"/>
          <w:bCs/>
        </w:rPr>
        <w:t xml:space="preserve">– </w:t>
      </w:r>
      <w:r w:rsidR="000673AF">
        <w:rPr>
          <w:rFonts w:eastAsia="Calibri" w:cstheme="minorHAnsi"/>
          <w:bCs/>
        </w:rPr>
        <w:t xml:space="preserve">chiosa </w:t>
      </w:r>
      <w:r w:rsidR="000673AF" w:rsidRPr="0099030D">
        <w:rPr>
          <w:rFonts w:eastAsia="Calibri" w:cstheme="minorHAnsi"/>
          <w:bCs/>
        </w:rPr>
        <w:t xml:space="preserve">Cartabellotta - </w:t>
      </w:r>
      <w:r w:rsidR="000673AF">
        <w:rPr>
          <w:rFonts w:eastAsia="Calibri" w:cstheme="minorHAnsi"/>
          <w:bCs/>
        </w:rPr>
        <w:t>è</w:t>
      </w:r>
      <w:r w:rsidR="000673AF" w:rsidRPr="0099030D">
        <w:rPr>
          <w:rFonts w:eastAsia="Calibri" w:cstheme="minorHAnsi"/>
          <w:bCs/>
        </w:rPr>
        <w:t xml:space="preserve"> una grande opportunità</w:t>
      </w:r>
      <w:r w:rsidR="000673AF">
        <w:rPr>
          <w:rFonts w:eastAsia="Calibri" w:cstheme="minorHAnsi"/>
          <w:bCs/>
        </w:rPr>
        <w:t xml:space="preserve">, </w:t>
      </w:r>
      <w:r w:rsidR="005B7915">
        <w:rPr>
          <w:rFonts w:eastAsia="Calibri" w:cstheme="minorHAnsi"/>
          <w:bCs/>
        </w:rPr>
        <w:t xml:space="preserve">che rischia di essere vanificata se non integrata </w:t>
      </w:r>
      <w:r w:rsidR="000673AF" w:rsidRPr="000673AF">
        <w:rPr>
          <w:rFonts w:eastAsia="Calibri" w:cstheme="minorHAnsi"/>
          <w:bCs/>
        </w:rPr>
        <w:t xml:space="preserve">in un </w:t>
      </w:r>
      <w:r w:rsidR="005B7915">
        <w:rPr>
          <w:rFonts w:eastAsia="Calibri" w:cstheme="minorHAnsi"/>
          <w:bCs/>
        </w:rPr>
        <w:t>piano</w:t>
      </w:r>
      <w:r w:rsidR="005B7915" w:rsidRPr="000673AF">
        <w:rPr>
          <w:rFonts w:eastAsia="Calibri" w:cstheme="minorHAnsi"/>
          <w:bCs/>
        </w:rPr>
        <w:t xml:space="preserve"> </w:t>
      </w:r>
      <w:r w:rsidR="000673AF" w:rsidRPr="000673AF">
        <w:rPr>
          <w:rFonts w:eastAsia="Calibri" w:cstheme="minorHAnsi"/>
          <w:bCs/>
        </w:rPr>
        <w:t>di rafforzamento complessivo del</w:t>
      </w:r>
      <w:r w:rsidR="000673AF">
        <w:rPr>
          <w:rFonts w:eastAsia="Calibri" w:cstheme="minorHAnsi"/>
          <w:bCs/>
        </w:rPr>
        <w:t>la sanità pubblica</w:t>
      </w:r>
      <w:r w:rsidR="0073237B">
        <w:rPr>
          <w:rFonts w:eastAsia="Calibri" w:cstheme="minorHAnsi"/>
          <w:bCs/>
        </w:rPr>
        <w:t>: non può e non deve</w:t>
      </w:r>
      <w:r w:rsidR="000673AF">
        <w:rPr>
          <w:rFonts w:eastAsia="Calibri" w:cstheme="minorHAnsi"/>
          <w:bCs/>
        </w:rPr>
        <w:t xml:space="preserve"> </w:t>
      </w:r>
      <w:r w:rsidR="0073237B">
        <w:rPr>
          <w:rFonts w:eastAsia="Calibri" w:cstheme="minorHAnsi"/>
          <w:bCs/>
        </w:rPr>
        <w:t>diventare</w:t>
      </w:r>
      <w:r w:rsidR="000673AF" w:rsidRPr="000673AF">
        <w:rPr>
          <w:rFonts w:eastAsia="Calibri" w:cstheme="minorHAnsi"/>
          <w:bCs/>
        </w:rPr>
        <w:t xml:space="preserve"> </w:t>
      </w:r>
      <w:r w:rsidR="0073237B">
        <w:rPr>
          <w:rFonts w:eastAsia="Calibri" w:cstheme="minorHAnsi"/>
          <w:bCs/>
        </w:rPr>
        <w:t>una</w:t>
      </w:r>
      <w:r w:rsidR="000673AF" w:rsidRPr="000673AF">
        <w:rPr>
          <w:rFonts w:eastAsia="Calibri" w:cstheme="minorHAnsi"/>
          <w:bCs/>
        </w:rPr>
        <w:t xml:space="preserve"> costosa “stampella” per </w:t>
      </w:r>
      <w:r w:rsidR="0073237B">
        <w:rPr>
          <w:rFonts w:eastAsia="Calibri" w:cstheme="minorHAnsi"/>
          <w:bCs/>
        </w:rPr>
        <w:t>sorreggere</w:t>
      </w:r>
      <w:r w:rsidR="0073237B" w:rsidRPr="000673AF">
        <w:rPr>
          <w:rFonts w:eastAsia="Calibri" w:cstheme="minorHAnsi"/>
          <w:bCs/>
        </w:rPr>
        <w:t xml:space="preserve"> </w:t>
      </w:r>
      <w:r w:rsidR="000673AF" w:rsidRPr="000673AF">
        <w:rPr>
          <w:rFonts w:eastAsia="Calibri" w:cstheme="minorHAnsi"/>
          <w:bCs/>
        </w:rPr>
        <w:t>un SSN claudicante</w:t>
      </w:r>
      <w:r w:rsidR="00F81CCF">
        <w:rPr>
          <w:rFonts w:eastAsia="Calibri" w:cstheme="minorHAnsi"/>
          <w:bCs/>
        </w:rPr>
        <w:t xml:space="preserve">. Peraltro, </w:t>
      </w:r>
      <w:r w:rsidR="00F81CCF" w:rsidRPr="00F81CCF">
        <w:rPr>
          <w:rFonts w:eastAsia="Calibri" w:cstheme="minorHAnsi"/>
          <w:bCs/>
        </w:rPr>
        <w:t>la legge sull’autonomia differenziata va “in direzione ostinata e contraria” agli obiettivi del</w:t>
      </w:r>
      <w:r w:rsidR="00F81CCF">
        <w:rPr>
          <w:rFonts w:eastAsia="Calibri" w:cstheme="minorHAnsi"/>
          <w:bCs/>
        </w:rPr>
        <w:t>l’intero</w:t>
      </w:r>
      <w:r w:rsidR="00F81CCF" w:rsidRPr="00F81CCF">
        <w:rPr>
          <w:rFonts w:eastAsia="Calibri" w:cstheme="minorHAnsi"/>
          <w:bCs/>
        </w:rPr>
        <w:t xml:space="preserve"> PNRR che prevedono di ridurre le diseguaglianze regionali e territoriali</w:t>
      </w:r>
      <w:r w:rsidR="0073237B">
        <w:rPr>
          <w:rFonts w:eastAsia="Calibri" w:cstheme="minorHAnsi"/>
          <w:bCs/>
        </w:rPr>
        <w:t>.</w:t>
      </w:r>
      <w:r w:rsidR="00C65488">
        <w:rPr>
          <w:rFonts w:eastAsia="Calibri" w:cstheme="minorHAnsi"/>
          <w:bCs/>
        </w:rPr>
        <w:t xml:space="preserve"> </w:t>
      </w:r>
      <w:r w:rsidR="0073237B">
        <w:t>Così facendo, non solo si tradiscono le finalità del PNRR, ma si indebitano le future generazioni per aggravare ulteriormente le disparità nell’accesso alle cure tra Nord e Sud</w:t>
      </w:r>
      <w:r w:rsidR="000673AF" w:rsidRPr="0099030D">
        <w:rPr>
          <w:rFonts w:cstheme="minorHAnsi"/>
        </w:rPr>
        <w:t>»</w:t>
      </w:r>
      <w:r w:rsidR="000673AF" w:rsidRPr="0099030D">
        <w:rPr>
          <w:rFonts w:eastAsia="Calibri" w:cstheme="minorHAnsi"/>
          <w:bCs/>
        </w:rPr>
        <w:t>.</w:t>
      </w:r>
    </w:p>
    <w:p w14:paraId="6AE6D278" w14:textId="2CEC05D1" w:rsidR="0080248C" w:rsidRPr="000673AF" w:rsidRDefault="00217149" w:rsidP="00A93EBE">
      <w:pPr>
        <w:jc w:val="both"/>
        <w:rPr>
          <w:rFonts w:eastAsia="Calibri" w:cstheme="minorHAnsi"/>
          <w:bCs/>
          <w:iCs/>
        </w:rPr>
      </w:pPr>
      <w:r w:rsidRPr="000617E9">
        <w:rPr>
          <w:rFonts w:cstheme="minorHAnsi"/>
        </w:rPr>
        <w:t>«</w:t>
      </w:r>
      <w:r w:rsidR="0080248C" w:rsidRPr="000617E9">
        <w:rPr>
          <w:rFonts w:eastAsia="Calibri" w:cstheme="minorHAnsi"/>
          <w:bCs/>
        </w:rPr>
        <w:t>P</w:t>
      </w:r>
      <w:r w:rsidRPr="000617E9">
        <w:rPr>
          <w:rFonts w:eastAsia="Calibri" w:cstheme="minorHAnsi"/>
          <w:bCs/>
        </w:rPr>
        <w:t xml:space="preserve">erdere il SSN </w:t>
      </w:r>
      <w:r w:rsidR="0080248C" w:rsidRPr="000617E9">
        <w:rPr>
          <w:rFonts w:eastAsia="Calibri" w:cstheme="minorHAnsi"/>
          <w:bCs/>
        </w:rPr>
        <w:t xml:space="preserve">– conclude Cartabellotta – </w:t>
      </w:r>
      <w:r w:rsidR="00722894" w:rsidRPr="000617E9">
        <w:rPr>
          <w:rFonts w:eastAsia="Calibri" w:cstheme="minorHAnsi"/>
          <w:bCs/>
        </w:rPr>
        <w:t>non significa solo compromettere la salute delle persone, ma soprattutto mortificarne la dignità e ridurre le loro capacità di realizzare ambizioni e obiettivi</w:t>
      </w:r>
      <w:r w:rsidR="0080248C" w:rsidRPr="000617E9">
        <w:rPr>
          <w:rFonts w:eastAsia="Calibri" w:cstheme="minorHAnsi"/>
          <w:bCs/>
        </w:rPr>
        <w:t xml:space="preserve">. È per questo che </w:t>
      </w:r>
      <w:r w:rsidR="000830EF" w:rsidRPr="000617E9">
        <w:rPr>
          <w:rFonts w:eastAsia="Calibri" w:cstheme="minorHAnsi"/>
          <w:bCs/>
        </w:rPr>
        <w:t>la Fondazione GIMBE</w:t>
      </w:r>
      <w:r w:rsidRPr="000617E9">
        <w:rPr>
          <w:rFonts w:eastAsia="Calibri" w:cstheme="minorHAnsi"/>
          <w:bCs/>
        </w:rPr>
        <w:t xml:space="preserve"> ha aggiornato il Piano di Rilancio del SSN</w:t>
      </w:r>
      <w:r w:rsidR="0080248C" w:rsidRPr="000617E9">
        <w:rPr>
          <w:rFonts w:eastAsia="Calibri" w:cstheme="minorHAnsi"/>
          <w:bCs/>
        </w:rPr>
        <w:t>: un programma chiaro</w:t>
      </w:r>
      <w:r w:rsidRPr="000617E9">
        <w:rPr>
          <w:rFonts w:eastAsia="Calibri" w:cstheme="minorHAnsi"/>
          <w:bCs/>
          <w:iCs/>
        </w:rPr>
        <w:t xml:space="preserve"> in 13 punti</w:t>
      </w:r>
      <w:r w:rsidR="0080248C" w:rsidRPr="000617E9">
        <w:rPr>
          <w:rFonts w:eastAsia="Calibri" w:cstheme="minorHAnsi"/>
          <w:bCs/>
          <w:iCs/>
        </w:rPr>
        <w:t xml:space="preserve"> che</w:t>
      </w:r>
      <w:r w:rsidR="0080248C">
        <w:rPr>
          <w:rFonts w:eastAsia="Calibri" w:cstheme="minorHAnsi"/>
          <w:bCs/>
          <w:iCs/>
        </w:rPr>
        <w:t xml:space="preserve"> </w:t>
      </w:r>
      <w:r w:rsidRPr="00217149">
        <w:rPr>
          <w:rFonts w:eastAsia="Calibri" w:cstheme="minorHAnsi"/>
          <w:bCs/>
          <w:iCs/>
        </w:rPr>
        <w:t xml:space="preserve">prescrive la terapia </w:t>
      </w:r>
      <w:r w:rsidR="0080248C">
        <w:rPr>
          <w:rFonts w:eastAsia="Calibri" w:cstheme="minorHAnsi"/>
          <w:bCs/>
          <w:iCs/>
        </w:rPr>
        <w:t xml:space="preserve">necessaria a salvare </w:t>
      </w:r>
      <w:r w:rsidR="002E7B7C">
        <w:rPr>
          <w:rFonts w:eastAsia="Calibri" w:cstheme="minorHAnsi"/>
          <w:bCs/>
          <w:iCs/>
        </w:rPr>
        <w:t xml:space="preserve">il nostro </w:t>
      </w:r>
      <w:r w:rsidR="0080248C">
        <w:rPr>
          <w:rFonts w:eastAsia="Calibri" w:cstheme="minorHAnsi"/>
          <w:bCs/>
          <w:iCs/>
        </w:rPr>
        <w:t>SSN</w:t>
      </w:r>
      <w:r w:rsidRPr="00217149">
        <w:rPr>
          <w:rFonts w:eastAsia="Calibri" w:cstheme="minorHAnsi"/>
          <w:bCs/>
          <w:iCs/>
        </w:rPr>
        <w:t xml:space="preserve"> “malato”. Un piano che </w:t>
      </w:r>
      <w:r w:rsidR="00862D53">
        <w:rPr>
          <w:rFonts w:eastAsia="Calibri" w:cstheme="minorHAnsi"/>
          <w:bCs/>
          <w:iCs/>
        </w:rPr>
        <w:t xml:space="preserve">ha </w:t>
      </w:r>
      <w:r w:rsidRPr="00217149">
        <w:rPr>
          <w:rFonts w:eastAsia="Calibri" w:cstheme="minorHAnsi"/>
          <w:bCs/>
          <w:iCs/>
        </w:rPr>
        <w:t xml:space="preserve">come bussola l’articolo 32 della Costituzione e il rispetto dei princìpi fondanti del SSN e mette nero su bianco le azioni indispensabili per potenziarlo con risorse adeguate, riforme coraggiose e una radicale e moderna riorganizzazione. </w:t>
      </w:r>
      <w:r w:rsidR="00862D53">
        <w:rPr>
          <w:rFonts w:eastAsia="Calibri" w:cstheme="minorHAnsi"/>
          <w:bCs/>
          <w:iCs/>
        </w:rPr>
        <w:t xml:space="preserve">Per </w:t>
      </w:r>
      <w:r w:rsidRPr="00217149">
        <w:rPr>
          <w:rFonts w:eastAsia="Calibri" w:cstheme="minorHAnsi"/>
          <w:bCs/>
          <w:iCs/>
        </w:rPr>
        <w:t xml:space="preserve">attuare questo piano, </w:t>
      </w:r>
      <w:r w:rsidR="00D96112">
        <w:rPr>
          <w:rFonts w:eastAsia="Calibri" w:cstheme="minorHAnsi"/>
          <w:bCs/>
          <w:iCs/>
        </w:rPr>
        <w:t xml:space="preserve">la Fondazione GIMBE </w:t>
      </w:r>
      <w:r w:rsidR="00D96112" w:rsidRPr="003460A3">
        <w:rPr>
          <w:rFonts w:eastAsia="Calibri" w:cstheme="minorHAnsi"/>
          <w:bCs/>
          <w:iCs/>
        </w:rPr>
        <w:t xml:space="preserve">invoca </w:t>
      </w:r>
      <w:r w:rsidRPr="00217149">
        <w:rPr>
          <w:rFonts w:eastAsia="Calibri" w:cstheme="minorHAnsi"/>
          <w:bCs/>
          <w:iCs/>
        </w:rPr>
        <w:t>un nuovo patto politico e sociale</w:t>
      </w:r>
      <w:r w:rsidR="00862D53">
        <w:rPr>
          <w:rFonts w:eastAsia="Calibri" w:cstheme="minorHAnsi"/>
          <w:bCs/>
          <w:iCs/>
        </w:rPr>
        <w:t>, che superi divisioni ideologiche</w:t>
      </w:r>
      <w:r w:rsidR="003460A3">
        <w:rPr>
          <w:rFonts w:eastAsia="Calibri" w:cstheme="minorHAnsi"/>
          <w:bCs/>
          <w:iCs/>
        </w:rPr>
        <w:t xml:space="preserve"> </w:t>
      </w:r>
      <w:r w:rsidR="00862D53">
        <w:rPr>
          <w:rFonts w:eastAsia="Calibri" w:cstheme="minorHAnsi"/>
          <w:bCs/>
          <w:iCs/>
        </w:rPr>
        <w:t xml:space="preserve">e </w:t>
      </w:r>
      <w:r w:rsidRPr="00217149">
        <w:rPr>
          <w:rFonts w:eastAsia="Calibri" w:cstheme="minorHAnsi"/>
          <w:bCs/>
          <w:iCs/>
        </w:rPr>
        <w:t>avvicendamenti d</w:t>
      </w:r>
      <w:r w:rsidR="00862D53">
        <w:rPr>
          <w:rFonts w:eastAsia="Calibri" w:cstheme="minorHAnsi"/>
          <w:bCs/>
          <w:iCs/>
        </w:rPr>
        <w:t>e</w:t>
      </w:r>
      <w:r w:rsidRPr="00217149">
        <w:rPr>
          <w:rFonts w:eastAsia="Calibri" w:cstheme="minorHAnsi"/>
          <w:bCs/>
          <w:iCs/>
        </w:rPr>
        <w:t xml:space="preserve">i Governi, </w:t>
      </w:r>
      <w:r w:rsidR="00862D53">
        <w:rPr>
          <w:rFonts w:eastAsia="Calibri" w:cstheme="minorHAnsi"/>
          <w:bCs/>
          <w:iCs/>
        </w:rPr>
        <w:t>riconoscendo</w:t>
      </w:r>
      <w:r w:rsidR="00862D53" w:rsidRPr="00217149">
        <w:rPr>
          <w:rFonts w:eastAsia="Calibri" w:cstheme="minorHAnsi"/>
          <w:bCs/>
          <w:iCs/>
        </w:rPr>
        <w:t xml:space="preserve"> </w:t>
      </w:r>
      <w:r w:rsidRPr="00217149">
        <w:rPr>
          <w:rFonts w:eastAsia="Calibri" w:cstheme="minorHAnsi"/>
          <w:bCs/>
          <w:iCs/>
        </w:rPr>
        <w:t>nel SSN un pilastro della nostra democrazia, uno strumento di coesione sociale e un motore per lo sviluppo economico del</w:t>
      </w:r>
      <w:r w:rsidR="00862D53">
        <w:rPr>
          <w:rFonts w:eastAsia="Calibri" w:cstheme="minorHAnsi"/>
          <w:bCs/>
          <w:iCs/>
        </w:rPr>
        <w:t>l’Italia</w:t>
      </w:r>
      <w:r w:rsidRPr="00217149">
        <w:rPr>
          <w:rFonts w:eastAsia="Calibri" w:cstheme="minorHAnsi"/>
          <w:bCs/>
          <w:iCs/>
        </w:rPr>
        <w:t xml:space="preserve">. </w:t>
      </w:r>
      <w:r w:rsidR="00EA3F81">
        <w:rPr>
          <w:rFonts w:eastAsia="Calibri" w:cstheme="minorHAnsi"/>
          <w:bCs/>
          <w:iCs/>
        </w:rPr>
        <w:t xml:space="preserve">Un patto che chiede ai </w:t>
      </w:r>
      <w:r w:rsidRPr="00217149">
        <w:rPr>
          <w:rFonts w:eastAsia="Calibri" w:cstheme="minorHAnsi"/>
          <w:bCs/>
          <w:iCs/>
        </w:rPr>
        <w:t xml:space="preserve">cittadini </w:t>
      </w:r>
      <w:r w:rsidR="00EA3F81">
        <w:rPr>
          <w:rFonts w:eastAsia="Calibri" w:cstheme="minorHAnsi"/>
          <w:bCs/>
          <w:iCs/>
        </w:rPr>
        <w:t xml:space="preserve">di </w:t>
      </w:r>
      <w:r w:rsidR="003460A3">
        <w:rPr>
          <w:rFonts w:eastAsia="Calibri" w:cstheme="minorHAnsi"/>
          <w:bCs/>
          <w:iCs/>
        </w:rPr>
        <w:t xml:space="preserve">diventare </w:t>
      </w:r>
      <w:r w:rsidR="00D96112">
        <w:rPr>
          <w:rFonts w:eastAsia="Calibri" w:cstheme="minorHAnsi"/>
          <w:bCs/>
          <w:iCs/>
        </w:rPr>
        <w:t xml:space="preserve">utenti </w:t>
      </w:r>
      <w:r w:rsidR="00D96112" w:rsidRPr="00D96112">
        <w:rPr>
          <w:rFonts w:eastAsia="Calibri" w:cstheme="minorHAnsi"/>
          <w:bCs/>
          <w:iCs/>
        </w:rPr>
        <w:t>informat</w:t>
      </w:r>
      <w:r w:rsidR="00D96112">
        <w:rPr>
          <w:rFonts w:eastAsia="Calibri" w:cstheme="minorHAnsi"/>
          <w:bCs/>
          <w:iCs/>
        </w:rPr>
        <w:t xml:space="preserve">i </w:t>
      </w:r>
      <w:r w:rsidR="00D96112" w:rsidRPr="00D96112">
        <w:rPr>
          <w:rFonts w:eastAsia="Calibri" w:cstheme="minorHAnsi"/>
          <w:bCs/>
          <w:iCs/>
        </w:rPr>
        <w:t>e responsabil</w:t>
      </w:r>
      <w:r w:rsidR="00D96112">
        <w:rPr>
          <w:rFonts w:eastAsia="Calibri" w:cstheme="minorHAnsi"/>
          <w:bCs/>
          <w:iCs/>
        </w:rPr>
        <w:t>i</w:t>
      </w:r>
      <w:r w:rsidR="00862D53">
        <w:rPr>
          <w:rFonts w:eastAsia="Calibri" w:cstheme="minorHAnsi"/>
          <w:bCs/>
          <w:iCs/>
        </w:rPr>
        <w:t>,</w:t>
      </w:r>
      <w:r w:rsidR="00D96112">
        <w:rPr>
          <w:rFonts w:eastAsia="Calibri" w:cstheme="minorHAnsi"/>
          <w:bCs/>
          <w:iCs/>
        </w:rPr>
        <w:t xml:space="preserve"> </w:t>
      </w:r>
      <w:r w:rsidRPr="00217149">
        <w:rPr>
          <w:rFonts w:eastAsia="Calibri" w:cstheme="minorHAnsi"/>
          <w:bCs/>
          <w:iCs/>
        </w:rPr>
        <w:t>consapevoli del valore de</w:t>
      </w:r>
      <w:r w:rsidR="00D96112">
        <w:rPr>
          <w:rFonts w:eastAsia="Calibri" w:cstheme="minorHAnsi"/>
          <w:bCs/>
          <w:iCs/>
        </w:rPr>
        <w:t xml:space="preserve">l </w:t>
      </w:r>
      <w:r w:rsidRPr="00217149">
        <w:rPr>
          <w:rFonts w:eastAsia="Calibri" w:cstheme="minorHAnsi"/>
          <w:bCs/>
          <w:iCs/>
        </w:rPr>
        <w:t>SSN</w:t>
      </w:r>
      <w:r w:rsidR="00862D53">
        <w:rPr>
          <w:rFonts w:eastAsia="Calibri" w:cstheme="minorHAnsi"/>
          <w:bCs/>
          <w:iCs/>
        </w:rPr>
        <w:t>,</w:t>
      </w:r>
      <w:r w:rsidR="00D96112">
        <w:rPr>
          <w:rFonts w:eastAsia="Calibri" w:cstheme="minorHAnsi"/>
          <w:bCs/>
          <w:iCs/>
        </w:rPr>
        <w:t xml:space="preserve"> e </w:t>
      </w:r>
      <w:r w:rsidR="00EA3F81">
        <w:rPr>
          <w:rFonts w:eastAsia="Calibri" w:cstheme="minorHAnsi"/>
          <w:bCs/>
          <w:iCs/>
        </w:rPr>
        <w:t xml:space="preserve">a tutti gli attori </w:t>
      </w:r>
      <w:r>
        <w:rPr>
          <w:rFonts w:eastAsia="Calibri" w:cstheme="minorHAnsi"/>
          <w:bCs/>
          <w:iCs/>
        </w:rPr>
        <w:t>della sanità</w:t>
      </w:r>
      <w:r w:rsidRPr="00217149">
        <w:rPr>
          <w:rFonts w:eastAsia="Calibri" w:cstheme="minorHAnsi"/>
          <w:bCs/>
          <w:iCs/>
        </w:rPr>
        <w:t xml:space="preserve"> </w:t>
      </w:r>
      <w:r w:rsidR="0087714B">
        <w:rPr>
          <w:rFonts w:eastAsia="Calibri" w:cstheme="minorHAnsi"/>
          <w:bCs/>
          <w:iCs/>
        </w:rPr>
        <w:t>di</w:t>
      </w:r>
      <w:r w:rsidRPr="00217149">
        <w:rPr>
          <w:rFonts w:eastAsia="Calibri" w:cstheme="minorHAnsi"/>
          <w:bCs/>
          <w:iCs/>
        </w:rPr>
        <w:t xml:space="preserve"> rinunciare ai privilegi </w:t>
      </w:r>
      <w:r w:rsidR="00EA3F81">
        <w:rPr>
          <w:rFonts w:eastAsia="Calibri" w:cstheme="minorHAnsi"/>
          <w:bCs/>
          <w:iCs/>
        </w:rPr>
        <w:t xml:space="preserve">acquisiti </w:t>
      </w:r>
      <w:r w:rsidRPr="00217149">
        <w:rPr>
          <w:rFonts w:eastAsia="Calibri" w:cstheme="minorHAnsi"/>
          <w:bCs/>
          <w:iCs/>
        </w:rPr>
        <w:t>per salvaguardare il bene comune</w:t>
      </w:r>
      <w:r w:rsidRPr="0099030D">
        <w:rPr>
          <w:rFonts w:cstheme="minorHAnsi"/>
        </w:rPr>
        <w:t>»</w:t>
      </w:r>
      <w:r w:rsidRPr="00217149">
        <w:rPr>
          <w:rFonts w:eastAsia="Calibri" w:cstheme="minorHAnsi"/>
          <w:bCs/>
          <w:iCs/>
        </w:rPr>
        <w:t>.</w:t>
      </w:r>
    </w:p>
    <w:p w14:paraId="34252401" w14:textId="77777777" w:rsidR="00A04007" w:rsidRPr="0099030D" w:rsidRDefault="00A04007" w:rsidP="00A04007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FE30F1C" w14:textId="3E0C4D21" w:rsidR="00FD63E4" w:rsidRPr="0099030D" w:rsidRDefault="00F71183" w:rsidP="00FD63E4">
      <w:pPr>
        <w:rPr>
          <w:rFonts w:cstheme="minorHAnsi"/>
        </w:rPr>
      </w:pPr>
      <w:r>
        <w:rPr>
          <w:rFonts w:cstheme="minorHAnsi"/>
        </w:rPr>
        <w:t>V</w:t>
      </w:r>
      <w:r w:rsidR="00FD63E4" w:rsidRPr="0099030D">
        <w:rPr>
          <w:rFonts w:cstheme="minorHAnsi"/>
        </w:rPr>
        <w:t xml:space="preserve">ersione integrale del </w:t>
      </w:r>
      <w:r w:rsidR="009330BF" w:rsidRPr="0099030D">
        <w:rPr>
          <w:rFonts w:cstheme="minorHAnsi"/>
        </w:rPr>
        <w:t>7</w:t>
      </w:r>
      <w:r w:rsidR="00FD63E4" w:rsidRPr="0099030D">
        <w:rPr>
          <w:rFonts w:cstheme="minorHAnsi"/>
        </w:rPr>
        <w:t xml:space="preserve">° Rapporto GIMBE: </w:t>
      </w:r>
      <w:hyperlink r:id="rId8" w:history="1">
        <w:r w:rsidR="009330BF" w:rsidRPr="0063057C">
          <w:rPr>
            <w:rStyle w:val="Collegamentoipertestuale"/>
            <w:rFonts w:cstheme="minorHAnsi"/>
          </w:rPr>
          <w:t>www.salviamo-ssn.it/</w:t>
        </w:r>
        <w:r w:rsidR="009330BF" w:rsidRPr="0063057C">
          <w:rPr>
            <w:rStyle w:val="Collegamentoipertestuale"/>
            <w:rFonts w:cstheme="minorHAnsi"/>
          </w:rPr>
          <w:t>7</w:t>
        </w:r>
        <w:r w:rsidR="009330BF" w:rsidRPr="0063057C">
          <w:rPr>
            <w:rStyle w:val="Collegamentoipertestuale"/>
            <w:rFonts w:cstheme="minorHAnsi"/>
          </w:rPr>
          <w:t>-rapporto</w:t>
        </w:r>
      </w:hyperlink>
      <w:r w:rsidR="00984E46" w:rsidRPr="0099030D">
        <w:rPr>
          <w:rFonts w:cstheme="minorHAnsi"/>
        </w:rPr>
        <w:t xml:space="preserve"> </w:t>
      </w:r>
    </w:p>
    <w:p w14:paraId="14C7695C" w14:textId="1D3AC26C" w:rsidR="00A93EBE" w:rsidRPr="008C5370" w:rsidRDefault="00F71183" w:rsidP="00FD63E4">
      <w:pPr>
        <w:rPr>
          <w:rFonts w:cstheme="minorHAnsi"/>
          <w:color w:val="FF0000"/>
        </w:rPr>
      </w:pPr>
      <w:r>
        <w:rPr>
          <w:rFonts w:cstheme="minorHAnsi"/>
        </w:rPr>
        <w:t xml:space="preserve">Messaggio </w:t>
      </w:r>
      <w:r w:rsidR="00A93EBE" w:rsidRPr="00AB6E32">
        <w:rPr>
          <w:rFonts w:cstheme="minorHAnsi"/>
        </w:rPr>
        <w:t xml:space="preserve">del </w:t>
      </w:r>
      <w:r w:rsidR="002A4D4A">
        <w:rPr>
          <w:rFonts w:cstheme="minorHAnsi"/>
        </w:rPr>
        <w:t>P</w:t>
      </w:r>
      <w:r w:rsidR="00A93EBE" w:rsidRPr="00AB6E32">
        <w:rPr>
          <w:rFonts w:cstheme="minorHAnsi"/>
        </w:rPr>
        <w:t>residente della Repubblica Sergio Mattarella</w:t>
      </w:r>
      <w:hyperlink r:id="rId9" w:history="1">
        <w:r w:rsidR="00A93EBE" w:rsidRPr="005F5231">
          <w:rPr>
            <w:rStyle w:val="Collegamentoipertestuale"/>
            <w:rFonts w:cstheme="minorHAnsi"/>
          </w:rPr>
          <w:t>:</w:t>
        </w:r>
        <w:r w:rsidR="00A93EBE" w:rsidRPr="005F5231">
          <w:rPr>
            <w:rStyle w:val="Collegamentoipertestuale"/>
          </w:rPr>
          <w:t xml:space="preserve"> </w:t>
        </w:r>
        <w:r w:rsidRPr="005F5231">
          <w:rPr>
            <w:rStyle w:val="Collegamentoipertestuale"/>
            <w:rFonts w:cstheme="minorHAnsi"/>
          </w:rPr>
          <w:t>www.salviamo-ssn.it/Messaggio_Presidente_Mat</w:t>
        </w:r>
        <w:r w:rsidRPr="005F5231">
          <w:rPr>
            <w:rStyle w:val="Collegamentoipertestuale"/>
            <w:rFonts w:cstheme="minorHAnsi"/>
          </w:rPr>
          <w:t>t</w:t>
        </w:r>
        <w:r w:rsidRPr="005F5231">
          <w:rPr>
            <w:rStyle w:val="Collegamentoipertestuale"/>
            <w:rFonts w:cstheme="minorHAnsi"/>
          </w:rPr>
          <w:t>arella</w:t>
        </w:r>
      </w:hyperlink>
      <w:r>
        <w:rPr>
          <w:rFonts w:cstheme="minorHAnsi"/>
        </w:rPr>
        <w:t xml:space="preserve"> </w:t>
      </w:r>
      <w:r w:rsidR="00A93EBE" w:rsidRPr="00AB6E32">
        <w:rPr>
          <w:rStyle w:val="Collegamentoipertestuale"/>
        </w:rPr>
        <w:t xml:space="preserve"> </w:t>
      </w:r>
    </w:p>
    <w:p w14:paraId="4121AD23" w14:textId="50A19AD7" w:rsidR="00DF6BC5" w:rsidRPr="0099030D" w:rsidRDefault="00DF6BC5" w:rsidP="00FD63E4">
      <w:pPr>
        <w:rPr>
          <w:rFonts w:cstheme="minorHAnsi"/>
        </w:rPr>
      </w:pPr>
      <w:r w:rsidRPr="0099030D">
        <w:rPr>
          <w:rFonts w:cstheme="minorHAnsi"/>
        </w:rPr>
        <w:t xml:space="preserve">Piano di Rilancio </w:t>
      </w:r>
      <w:r w:rsidR="002A4D4A">
        <w:rPr>
          <w:rFonts w:cstheme="minorHAnsi"/>
        </w:rPr>
        <w:t>del SSN</w:t>
      </w:r>
      <w:r w:rsidRPr="0099030D">
        <w:rPr>
          <w:rFonts w:cstheme="minorHAnsi"/>
        </w:rPr>
        <w:t xml:space="preserve">: </w:t>
      </w:r>
      <w:hyperlink r:id="rId10" w:history="1">
        <w:r w:rsidR="005F5231">
          <w:rPr>
            <w:rStyle w:val="Collegamentoipertestuale"/>
            <w:rFonts w:cstheme="minorHAnsi"/>
          </w:rPr>
          <w:t>https://www.salviamo-ssn.it/salviamo-ssn/piano-di-rilancio</w:t>
        </w:r>
      </w:hyperlink>
      <w:r w:rsidRPr="0099030D">
        <w:rPr>
          <w:rFonts w:cstheme="minorHAnsi"/>
        </w:rPr>
        <w:t xml:space="preserve"> </w:t>
      </w:r>
    </w:p>
    <w:p w14:paraId="43FBF2D4" w14:textId="77777777" w:rsidR="00A93EBE" w:rsidRPr="0099030D" w:rsidRDefault="00A93EBE" w:rsidP="00FD63E4">
      <w:pPr>
        <w:rPr>
          <w:rFonts w:cstheme="minorHAnsi"/>
        </w:rPr>
      </w:pPr>
    </w:p>
    <w:p w14:paraId="339F840F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  <w:b/>
          <w:bCs/>
        </w:rPr>
        <w:t>Fondazione GIMBE</w:t>
      </w:r>
      <w:r w:rsidRPr="0099030D">
        <w:rPr>
          <w:rFonts w:eastAsia="Calibri" w:cstheme="minorHAnsi"/>
        </w:rPr>
        <w:br/>
        <w:t>Via Amendola 2 - 40121 Bologna</w:t>
      </w:r>
    </w:p>
    <w:p w14:paraId="099A1383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</w:rPr>
        <w:t>Tel. 051 5883920 - Fax 051 4075774</w:t>
      </w:r>
      <w:bookmarkStart w:id="1" w:name="_GoBack"/>
      <w:bookmarkEnd w:id="1"/>
    </w:p>
    <w:p w14:paraId="76EB36D1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</w:rPr>
        <w:t xml:space="preserve">E-mail: </w:t>
      </w:r>
      <w:hyperlink r:id="rId11" w:history="1">
        <w:r w:rsidRPr="0099030D">
          <w:rPr>
            <w:rFonts w:eastAsia="Calibri" w:cstheme="minorHAnsi"/>
          </w:rPr>
          <w:t>ufficio.stampa@gimbe.org</w:t>
        </w:r>
      </w:hyperlink>
    </w:p>
    <w:p w14:paraId="38A2F2E7" w14:textId="77777777" w:rsidR="0001114E" w:rsidRDefault="0001114E" w:rsidP="00653000">
      <w:pPr>
        <w:spacing w:after="0"/>
        <w:rPr>
          <w:rFonts w:eastAsia="Calibri" w:cstheme="minorHAnsi"/>
        </w:rPr>
      </w:pPr>
    </w:p>
    <w:p w14:paraId="5E4D4EE0" w14:textId="77777777" w:rsidR="00A53625" w:rsidRDefault="00A53625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56D7C1BD" w14:textId="77777777" w:rsidR="00A53625" w:rsidRDefault="00A53625" w:rsidP="00A53625">
      <w:pPr>
        <w:suppressAutoHyphens/>
        <w:spacing w:before="120" w:after="300"/>
        <w:jc w:val="center"/>
        <w:rPr>
          <w:rFonts w:ascii="Cambria" w:hAnsi="Cambria"/>
          <w:b/>
          <w:color w:val="00457D"/>
          <w:sz w:val="18"/>
        </w:rPr>
      </w:pPr>
    </w:p>
    <w:p w14:paraId="2E304BC0" w14:textId="77777777" w:rsidR="00A53625" w:rsidRPr="00DC13A0" w:rsidRDefault="00A53625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 1. Fabbisogno Sanitario Nazionale: trend 2010-2024</w:t>
      </w:r>
    </w:p>
    <w:p w14:paraId="0DD6C14C" w14:textId="77777777" w:rsidR="00A53625" w:rsidRPr="00493383" w:rsidRDefault="00A53625" w:rsidP="00A53625">
      <w:pPr>
        <w:spacing w:after="0"/>
        <w:jc w:val="center"/>
        <w:rPr>
          <w:rFonts w:ascii="Cambria" w:hAnsi="Cambria" w:cstheme="minorHAnsi"/>
          <w:sz w:val="32"/>
        </w:rPr>
      </w:pPr>
      <w:r w:rsidRPr="00493383">
        <w:rPr>
          <w:rFonts w:ascii="Cambria" w:hAnsi="Cambria" w:cstheme="minorHAnsi"/>
          <w:noProof/>
          <w:sz w:val="32"/>
          <w:lang w:eastAsia="it-IT"/>
        </w:rPr>
        <w:drawing>
          <wp:inline distT="0" distB="0" distL="0" distR="0" wp14:anchorId="7FC72626" wp14:editId="6A97ED26">
            <wp:extent cx="5760000" cy="333648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3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22B19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7899C7BF" w14:textId="77777777" w:rsidR="008C5370" w:rsidRDefault="008C5370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60878EBA" w14:textId="02A79B59" w:rsidR="008C5370" w:rsidRPr="00DC13A0" w:rsidRDefault="00A53625" w:rsidP="00F461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Tabella 1. Piano Strutturale di Bilancio di medio termine 2025-2029: consuntivo 2023 e stime 2024-2027</w:t>
      </w:r>
    </w:p>
    <w:tbl>
      <w:tblPr>
        <w:tblW w:w="0" w:type="auto"/>
        <w:jc w:val="center"/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019"/>
        <w:gridCol w:w="1019"/>
        <w:gridCol w:w="1019"/>
        <w:gridCol w:w="1019"/>
        <w:gridCol w:w="1019"/>
      </w:tblGrid>
      <w:tr w:rsidR="00A53625" w:rsidRPr="00953371" w14:paraId="397D722B" w14:textId="77777777" w:rsidTr="00954739">
        <w:trPr>
          <w:trHeight w:val="288"/>
          <w:jc w:val="center"/>
        </w:trPr>
        <w:tc>
          <w:tcPr>
            <w:tcW w:w="2780" w:type="dxa"/>
            <w:tcBorders>
              <w:bottom w:val="single" w:sz="4" w:space="0" w:color="00457D"/>
              <w:right w:val="single" w:sz="4" w:space="0" w:color="00457D"/>
            </w:tcBorders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C0D44" w14:textId="77777777" w:rsidR="00A53625" w:rsidRPr="00953371" w:rsidRDefault="00A53625" w:rsidP="00954739">
            <w:pPr>
              <w:suppressAutoHyphens/>
              <w:spacing w:after="0"/>
              <w:rPr>
                <w:rFonts w:cstheme="minorHAnsi"/>
                <w:b/>
                <w:bCs/>
                <w:color w:val="FFFFFF"/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5EEB4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95337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</w:tcPr>
          <w:p w14:paraId="09A332C1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95337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</w:tcPr>
          <w:p w14:paraId="54DED4E7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95337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</w:tcPr>
          <w:p w14:paraId="039A8401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95337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2026</w:t>
            </w:r>
          </w:p>
        </w:tc>
        <w:tc>
          <w:tcPr>
            <w:tcW w:w="1019" w:type="dxa"/>
            <w:tcBorders>
              <w:top w:val="single" w:sz="8" w:space="0" w:color="00457D"/>
              <w:left w:val="single" w:sz="4" w:space="0" w:color="FFFFFF" w:themeColor="background1"/>
              <w:bottom w:val="single" w:sz="4" w:space="0" w:color="00457D"/>
              <w:right w:val="single" w:sz="8" w:space="0" w:color="00457D"/>
            </w:tcBorders>
            <w:shd w:val="clear" w:color="auto" w:fill="00457D"/>
          </w:tcPr>
          <w:p w14:paraId="59C6C4EC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95337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2027</w:t>
            </w:r>
          </w:p>
        </w:tc>
      </w:tr>
      <w:tr w:rsidR="00A53625" w:rsidRPr="00953371" w14:paraId="674FCEB2" w14:textId="77777777" w:rsidTr="00954739">
        <w:trPr>
          <w:trHeight w:val="288"/>
          <w:jc w:val="center"/>
        </w:trPr>
        <w:tc>
          <w:tcPr>
            <w:tcW w:w="27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1ACB2" w14:textId="77777777" w:rsidR="00A53625" w:rsidRPr="00953371" w:rsidRDefault="00A53625" w:rsidP="00954739">
            <w:pPr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953371">
              <w:rPr>
                <w:rFonts w:cstheme="minorHAnsi"/>
                <w:color w:val="000000"/>
                <w:sz w:val="20"/>
                <w:szCs w:val="20"/>
                <w:lang w:eastAsia="it-IT"/>
              </w:rPr>
              <w:t>Spesa sanitaria (milioni di €)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AF0AC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953371">
              <w:rPr>
                <w:rFonts w:cstheme="minorHAnsi"/>
                <w:sz w:val="20"/>
                <w:szCs w:val="20"/>
              </w:rPr>
              <w:t xml:space="preserve">131.119 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220FBF51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 xml:space="preserve">137.934 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512B4F2E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141.929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05897FDD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144.969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06FB0732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147.506</w:t>
            </w:r>
          </w:p>
        </w:tc>
      </w:tr>
      <w:tr w:rsidR="00A53625" w:rsidRPr="00953371" w14:paraId="18419000" w14:textId="77777777" w:rsidTr="00954739">
        <w:trPr>
          <w:trHeight w:val="288"/>
          <w:jc w:val="center"/>
        </w:trPr>
        <w:tc>
          <w:tcPr>
            <w:tcW w:w="27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97214" w14:textId="77777777" w:rsidR="00A53625" w:rsidRPr="00953371" w:rsidRDefault="00A53625" w:rsidP="00954739">
            <w:pPr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953371">
              <w:rPr>
                <w:rFonts w:cstheme="minorHAnsi"/>
                <w:color w:val="000000"/>
                <w:sz w:val="20"/>
                <w:szCs w:val="20"/>
                <w:lang w:eastAsia="it-IT"/>
              </w:rPr>
              <w:t>Spesa sanitaria (% PIL)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A6D4B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6,2%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6C1F8BD1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6,3%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1143CC43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6,3%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70FFD937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6,2%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223CF9A2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6,2%</w:t>
            </w:r>
          </w:p>
        </w:tc>
      </w:tr>
      <w:tr w:rsidR="00A53625" w:rsidRPr="00953371" w14:paraId="7D617D82" w14:textId="77777777" w:rsidTr="00954739">
        <w:trPr>
          <w:trHeight w:val="288"/>
          <w:jc w:val="center"/>
        </w:trPr>
        <w:tc>
          <w:tcPr>
            <w:tcW w:w="27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E02CE" w14:textId="77777777" w:rsidR="00A53625" w:rsidRPr="00953371" w:rsidRDefault="00A53625" w:rsidP="00954739">
            <w:pPr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953371">
              <w:rPr>
                <w:rFonts w:cstheme="minorHAnsi"/>
                <w:color w:val="000000"/>
                <w:sz w:val="20"/>
                <w:szCs w:val="20"/>
                <w:lang w:eastAsia="it-IT"/>
              </w:rPr>
              <w:t>Tasso di variazione in 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E5228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3EA2A0A6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5,2%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7FF9CB28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2,9%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2CF3A8FB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2,1%</w:t>
            </w:r>
          </w:p>
        </w:tc>
        <w:tc>
          <w:tcPr>
            <w:tcW w:w="101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FFFF"/>
          </w:tcPr>
          <w:p w14:paraId="1AA66AF2" w14:textId="77777777" w:rsidR="00A53625" w:rsidRPr="00953371" w:rsidRDefault="00A53625" w:rsidP="00954739">
            <w:pPr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53371">
              <w:rPr>
                <w:rFonts w:cstheme="minorHAnsi"/>
                <w:sz w:val="20"/>
                <w:szCs w:val="20"/>
              </w:rPr>
              <w:t>1,7%</w:t>
            </w:r>
          </w:p>
        </w:tc>
      </w:tr>
    </w:tbl>
    <w:p w14:paraId="2018DBE4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5506DC4A" w14:textId="72FF4F5D" w:rsidR="008C5370" w:rsidRDefault="008C5370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47949F2B" w14:textId="77777777" w:rsidR="00F4618B" w:rsidRDefault="00F4618B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74B87073" w14:textId="4B7B5208" w:rsidR="00A53625" w:rsidRPr="00DC13A0" w:rsidRDefault="00A53625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Tabella 2. Spesa sanitaria 2023 vs 2022 in milioni di euro</w:t>
      </w:r>
    </w:p>
    <w:tbl>
      <w:tblPr>
        <w:tblW w:w="7366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05"/>
        <w:gridCol w:w="1205"/>
        <w:gridCol w:w="992"/>
        <w:gridCol w:w="1134"/>
      </w:tblGrid>
      <w:tr w:rsidR="00A53625" w:rsidRPr="008C5370" w14:paraId="0D957B39" w14:textId="77777777" w:rsidTr="009547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2BED593" w14:textId="77777777" w:rsidR="00A53625" w:rsidRPr="008C5370" w:rsidRDefault="00A53625" w:rsidP="0095473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left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E145486" w14:textId="77777777" w:rsidR="00A53625" w:rsidRPr="008C5370" w:rsidRDefault="00A53625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2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CFB76A3" w14:textId="77777777" w:rsidR="00A53625" w:rsidRPr="008C5370" w:rsidRDefault="00A53625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60342E0" w14:textId="77777777" w:rsidR="00A53625" w:rsidRPr="008C5370" w:rsidRDefault="00A53625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Delta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629685C" w14:textId="77777777" w:rsidR="00A53625" w:rsidRPr="008C5370" w:rsidRDefault="00A53625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Delta (%)</w:t>
            </w:r>
          </w:p>
        </w:tc>
      </w:tr>
      <w:tr w:rsidR="00A53625" w:rsidRPr="008C5370" w14:paraId="6CA3D2AF" w14:textId="77777777" w:rsidTr="00954739">
        <w:trPr>
          <w:trHeight w:val="34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AA4FF77" w14:textId="77777777" w:rsidR="00A53625" w:rsidRPr="008C5370" w:rsidRDefault="00A53625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 spesa sanitaria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6E95630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171.867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09C671A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176.153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C06FF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+4.286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5211A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+2,5%</w:t>
            </w:r>
          </w:p>
        </w:tc>
      </w:tr>
      <w:tr w:rsidR="00A53625" w:rsidRPr="008C5370" w14:paraId="169600EE" w14:textId="77777777" w:rsidTr="00954739">
        <w:trPr>
          <w:trHeight w:val="34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3D68785" w14:textId="77777777" w:rsidR="00A53625" w:rsidRPr="008C5370" w:rsidRDefault="00A53625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Spesa pubblica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819F493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130.364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6C87D86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130.291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45A84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155D1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-0,1%</w:t>
            </w:r>
          </w:p>
        </w:tc>
      </w:tr>
      <w:tr w:rsidR="00A53625" w:rsidRPr="008C5370" w14:paraId="25DEEEFC" w14:textId="77777777" w:rsidTr="00954739">
        <w:trPr>
          <w:trHeight w:val="34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3AE6150" w14:textId="77777777" w:rsidR="00A53625" w:rsidRPr="008C5370" w:rsidRDefault="00A53625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Spesa privata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3D7EC0B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41.503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D871B65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45.862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2AA6A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+4.359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06B3E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+10,5%</w:t>
            </w:r>
          </w:p>
        </w:tc>
      </w:tr>
      <w:tr w:rsidR="00A53625" w:rsidRPr="008C5370" w14:paraId="29E71285" w14:textId="77777777" w:rsidTr="00954739">
        <w:trPr>
          <w:trHeight w:val="34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482FBA1" w14:textId="77777777" w:rsidR="00A53625" w:rsidRPr="008C5370" w:rsidRDefault="00A53625" w:rsidP="00954739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Out-of-pocket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FFC57A2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36.835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EBABD56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40.641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E8422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+3.806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FB172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+10,3%</w:t>
            </w:r>
          </w:p>
        </w:tc>
      </w:tr>
      <w:tr w:rsidR="00A53625" w:rsidRPr="008C5370" w14:paraId="71FBA48F" w14:textId="77777777" w:rsidTr="00954739">
        <w:trPr>
          <w:trHeight w:val="340"/>
          <w:jc w:val="center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0BE4352" w14:textId="77777777" w:rsidR="00A53625" w:rsidRPr="008C5370" w:rsidRDefault="00A53625" w:rsidP="00954739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Intermediata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2973CF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4.668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74CAFED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5.221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60E3C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CE64A" w14:textId="77777777" w:rsidR="00A53625" w:rsidRPr="008C5370" w:rsidRDefault="00A53625" w:rsidP="009547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+11,8%</w:t>
            </w:r>
          </w:p>
        </w:tc>
      </w:tr>
    </w:tbl>
    <w:p w14:paraId="5DE4EF91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32C783FD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2B1F537C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6BD275F7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04046E3C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39059DAF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7A472A4F" w14:textId="77777777" w:rsidR="00DC13A0" w:rsidRDefault="00DC13A0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172F09FE" w14:textId="7CB845C3" w:rsidR="00DC13A0" w:rsidRDefault="00A53625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 2. Trend spesa sanitaria privata 2012-2023</w:t>
      </w:r>
      <w:r w:rsidR="00EF414A">
        <w:rPr>
          <w:rFonts w:cstheme="minorHAnsi"/>
          <w:b/>
          <w:color w:val="00457D"/>
          <w:sz w:val="20"/>
          <w:szCs w:val="20"/>
        </w:rPr>
        <w:t xml:space="preserve"> (dati ISTAT-SHA)</w:t>
      </w:r>
    </w:p>
    <w:p w14:paraId="029F2154" w14:textId="77777777" w:rsidR="00A53625" w:rsidRPr="00C52BA4" w:rsidRDefault="00A53625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ascii="Cambria" w:hAnsi="Cambria"/>
        </w:rPr>
      </w:pPr>
      <w:r w:rsidRPr="00C52BA4">
        <w:rPr>
          <w:rFonts w:ascii="Cambria" w:hAnsi="Cambria"/>
          <w:noProof/>
          <w:lang w:eastAsia="it-IT"/>
        </w:rPr>
        <w:drawing>
          <wp:inline distT="0" distB="0" distL="0" distR="0" wp14:anchorId="694D39E3" wp14:editId="2847F6E2">
            <wp:extent cx="5760000" cy="3193683"/>
            <wp:effectExtent l="0" t="0" r="0" b="6985"/>
            <wp:docPr id="1039" name="Immagin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9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A0052" w14:textId="77777777" w:rsidR="00362818" w:rsidRDefault="00362818" w:rsidP="00362818">
      <w:pPr>
        <w:spacing w:before="120" w:after="300"/>
        <w:jc w:val="center"/>
        <w:rPr>
          <w:rFonts w:eastAsia="Calibri" w:cstheme="minorHAnsi"/>
        </w:rPr>
      </w:pPr>
    </w:p>
    <w:p w14:paraId="285B03A3" w14:textId="5AA7E8CB" w:rsidR="00362818" w:rsidRPr="00DC13A0" w:rsidRDefault="00362818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 3</w:t>
      </w:r>
      <w:r w:rsidR="00640287">
        <w:rPr>
          <w:rFonts w:cstheme="minorHAnsi"/>
          <w:b/>
          <w:color w:val="00457D"/>
          <w:sz w:val="20"/>
          <w:szCs w:val="20"/>
        </w:rPr>
        <w:t xml:space="preserve">. </w:t>
      </w:r>
      <w:r w:rsidRPr="00DC13A0">
        <w:rPr>
          <w:rFonts w:cstheme="minorHAnsi"/>
          <w:b/>
          <w:color w:val="00457D"/>
          <w:sz w:val="20"/>
          <w:szCs w:val="20"/>
        </w:rPr>
        <w:t>Medici per 1.000 abitanti (dati OCSE, anno 2022 o più recente disponibile)</w:t>
      </w:r>
    </w:p>
    <w:p w14:paraId="46A74062" w14:textId="6355A6D2" w:rsidR="00822D6D" w:rsidRPr="005F776A" w:rsidRDefault="00EF414A" w:rsidP="00822D6D">
      <w:pPr>
        <w:spacing w:after="120" w:line="240" w:lineRule="auto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eastAsia="it-IT"/>
        </w:rPr>
        <w:drawing>
          <wp:inline distT="0" distB="0" distL="0" distR="0" wp14:anchorId="1444595E" wp14:editId="7B83F524">
            <wp:extent cx="5760000" cy="322680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2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DC3F9" w14:textId="77777777" w:rsidR="00362818" w:rsidRDefault="00362818" w:rsidP="00362818">
      <w:pPr>
        <w:spacing w:before="120" w:after="300"/>
        <w:jc w:val="center"/>
        <w:rPr>
          <w:rFonts w:ascii="Cambria" w:hAnsi="Cambria"/>
          <w:b/>
          <w:noProof/>
          <w:color w:val="00457D"/>
          <w:sz w:val="18"/>
          <w:lang w:eastAsia="it-IT"/>
        </w:rPr>
      </w:pPr>
    </w:p>
    <w:p w14:paraId="13E5057C" w14:textId="77777777" w:rsidR="00DB14C1" w:rsidRDefault="00DB14C1">
      <w:pPr>
        <w:rPr>
          <w:rFonts w:cstheme="minorHAnsi"/>
          <w:b/>
          <w:color w:val="00457D"/>
          <w:sz w:val="20"/>
          <w:szCs w:val="20"/>
        </w:rPr>
      </w:pPr>
      <w:r>
        <w:rPr>
          <w:rFonts w:cstheme="minorHAnsi"/>
          <w:b/>
          <w:color w:val="00457D"/>
          <w:sz w:val="20"/>
          <w:szCs w:val="20"/>
        </w:rPr>
        <w:br w:type="page"/>
      </w:r>
    </w:p>
    <w:p w14:paraId="08AD1B7C" w14:textId="77777777" w:rsidR="00DB14C1" w:rsidRDefault="00DB14C1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3D33EF2A" w14:textId="54101972" w:rsidR="00362818" w:rsidRPr="00DC13A0" w:rsidRDefault="00362818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 4. Infermieri per 1.000 abitanti (dati OCSE, anno 2022 o più recente disponibile)</w:t>
      </w:r>
    </w:p>
    <w:p w14:paraId="0C6AF195" w14:textId="17CC656A" w:rsidR="00362818" w:rsidRDefault="00EF414A" w:rsidP="00362818">
      <w:pPr>
        <w:spacing w:after="120" w:line="240" w:lineRule="auto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eastAsia="it-IT"/>
        </w:rPr>
        <w:drawing>
          <wp:inline distT="0" distB="0" distL="0" distR="0" wp14:anchorId="6239007D" wp14:editId="40AB77A4">
            <wp:extent cx="5760000" cy="323343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A99B7" w14:textId="77777777" w:rsidR="00362818" w:rsidRDefault="00362818" w:rsidP="00DB14C1">
      <w:pPr>
        <w:spacing w:after="120" w:line="240" w:lineRule="auto"/>
        <w:rPr>
          <w:rFonts w:ascii="Cambria" w:hAnsi="Cambria"/>
          <w:color w:val="FF0000"/>
        </w:rPr>
      </w:pPr>
    </w:p>
    <w:p w14:paraId="5B57EFA0" w14:textId="6A35EE27" w:rsidR="00362818" w:rsidRPr="00DC13A0" w:rsidRDefault="00362818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 xml:space="preserve">Figura </w:t>
      </w:r>
      <w:r w:rsidR="00DB14C1">
        <w:rPr>
          <w:rFonts w:cstheme="minorHAnsi"/>
          <w:b/>
          <w:color w:val="00457D"/>
          <w:sz w:val="20"/>
          <w:szCs w:val="20"/>
        </w:rPr>
        <w:t>5</w:t>
      </w:r>
      <w:r w:rsidRPr="00DC13A0">
        <w:rPr>
          <w:rFonts w:cstheme="minorHAnsi"/>
          <w:b/>
          <w:color w:val="00457D"/>
          <w:sz w:val="20"/>
          <w:szCs w:val="20"/>
        </w:rPr>
        <w:t>. Laureati in Scienze Infermieristiche per 100.000 abitanti</w:t>
      </w:r>
      <w:r w:rsidR="00EF414A" w:rsidRPr="00DC13A0">
        <w:rPr>
          <w:rFonts w:cstheme="minorHAnsi"/>
          <w:b/>
          <w:color w:val="00457D"/>
          <w:sz w:val="20"/>
          <w:szCs w:val="20"/>
        </w:rPr>
        <w:t xml:space="preserve"> (dati OCSE, anno 2022 o più recente disponibile)</w:t>
      </w:r>
    </w:p>
    <w:p w14:paraId="5790A790" w14:textId="734098C9" w:rsidR="00362818" w:rsidRDefault="00EF414A" w:rsidP="00362818">
      <w:pPr>
        <w:spacing w:after="0"/>
        <w:jc w:val="center"/>
        <w:rPr>
          <w:rFonts w:ascii="Cambria" w:hAnsi="Cambria"/>
          <w:bCs/>
          <w:noProof/>
          <w:lang w:eastAsia="it-IT"/>
        </w:rPr>
      </w:pPr>
      <w:r>
        <w:rPr>
          <w:rFonts w:ascii="Cambria" w:hAnsi="Cambria"/>
          <w:bCs/>
          <w:noProof/>
          <w:lang w:eastAsia="it-IT"/>
        </w:rPr>
        <w:drawing>
          <wp:inline distT="0" distB="0" distL="0" distR="0" wp14:anchorId="7A6FBE5B" wp14:editId="0DE24800">
            <wp:extent cx="5760000" cy="3233433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9225E" w14:textId="77777777" w:rsidR="00362818" w:rsidRPr="005B7990" w:rsidRDefault="00362818" w:rsidP="00362818">
      <w:pPr>
        <w:spacing w:before="120" w:after="300"/>
        <w:jc w:val="center"/>
        <w:rPr>
          <w:rFonts w:ascii="Cambria" w:hAnsi="Cambria"/>
          <w:b/>
          <w:noProof/>
          <w:color w:val="00457D"/>
          <w:sz w:val="18"/>
          <w:lang w:eastAsia="it-IT"/>
        </w:rPr>
      </w:pPr>
    </w:p>
    <w:p w14:paraId="39284EEF" w14:textId="77777777" w:rsidR="00465E23" w:rsidRDefault="00465E23">
      <w:pPr>
        <w:rPr>
          <w:rFonts w:ascii="Cambria" w:hAnsi="Cambria"/>
          <w:b/>
          <w:color w:val="00457D"/>
          <w:sz w:val="18"/>
          <w:szCs w:val="20"/>
        </w:rPr>
      </w:pPr>
      <w:r>
        <w:rPr>
          <w:rFonts w:ascii="Cambria" w:hAnsi="Cambria"/>
          <w:b/>
          <w:color w:val="00457D"/>
          <w:sz w:val="18"/>
          <w:szCs w:val="20"/>
        </w:rPr>
        <w:br w:type="page"/>
      </w:r>
    </w:p>
    <w:p w14:paraId="5A68F80C" w14:textId="77777777" w:rsidR="00DC13A0" w:rsidRDefault="00DC13A0" w:rsidP="00465E23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0800BA4E" w14:textId="73F21011" w:rsidR="00DC13A0" w:rsidRDefault="00465E23" w:rsidP="00465E23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</w:t>
      </w:r>
      <w:r w:rsidR="00DB14C1">
        <w:rPr>
          <w:rFonts w:cstheme="minorHAnsi"/>
          <w:b/>
          <w:color w:val="00457D"/>
          <w:sz w:val="20"/>
          <w:szCs w:val="20"/>
        </w:rPr>
        <w:t xml:space="preserve"> 6</w:t>
      </w:r>
      <w:r w:rsidRPr="00DC13A0">
        <w:rPr>
          <w:rFonts w:cstheme="minorHAnsi"/>
          <w:b/>
          <w:color w:val="00457D"/>
          <w:sz w:val="20"/>
          <w:szCs w:val="20"/>
        </w:rPr>
        <w:t>. Nuovo Sistema di Garanzia: punteggi totali anno 2022</w:t>
      </w:r>
    </w:p>
    <w:p w14:paraId="1EF802ED" w14:textId="77777777" w:rsidR="00465E23" w:rsidRDefault="00465E23" w:rsidP="00465E23">
      <w:pPr>
        <w:spacing w:before="120" w:after="240"/>
        <w:jc w:val="center"/>
        <w:rPr>
          <w:rFonts w:ascii="Cambria" w:hAnsi="Cambria"/>
          <w:b/>
          <w:color w:val="00457D"/>
          <w:sz w:val="18"/>
          <w:szCs w:val="20"/>
        </w:rPr>
      </w:pPr>
      <w:r>
        <w:rPr>
          <w:b/>
          <w:bCs/>
          <w:noProof/>
          <w:color w:val="1F497D" w:themeColor="text2"/>
          <w:lang w:eastAsia="it-IT"/>
        </w:rPr>
        <w:drawing>
          <wp:inline distT="0" distB="0" distL="0" distR="0" wp14:anchorId="6B535B62" wp14:editId="7869274E">
            <wp:extent cx="5760000" cy="2974827"/>
            <wp:effectExtent l="19050" t="19050" r="12700" b="16510"/>
            <wp:docPr id="50" name="Immagine 50" descr="Figura01_Cartina_LEA_2022-2024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01_Cartina_LEA_2022-202407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8" b="8568"/>
                    <a:stretch/>
                  </pic:blipFill>
                  <pic:spPr bwMode="auto">
                    <a:xfrm>
                      <a:off x="0" y="0"/>
                      <a:ext cx="5760000" cy="29748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5079B" w14:textId="77777777" w:rsidR="00DC13A0" w:rsidRDefault="00DC13A0" w:rsidP="00465E23">
      <w:pPr>
        <w:spacing w:before="120" w:after="300"/>
        <w:jc w:val="center"/>
        <w:rPr>
          <w:rFonts w:ascii="Cambria" w:eastAsia="Times New Roman" w:hAnsi="Cambria" w:cs="Times New Roman"/>
          <w:b/>
          <w:color w:val="00457D"/>
          <w:sz w:val="18"/>
          <w:lang w:eastAsia="it-IT"/>
        </w:rPr>
      </w:pPr>
    </w:p>
    <w:p w14:paraId="0F51800E" w14:textId="00EED18A" w:rsidR="00465E23" w:rsidRPr="00DC13A0" w:rsidRDefault="00465E23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</w:t>
      </w:r>
      <w:r w:rsidR="00DB14C1">
        <w:rPr>
          <w:rFonts w:cstheme="minorHAnsi"/>
          <w:b/>
          <w:color w:val="00457D"/>
          <w:sz w:val="20"/>
          <w:szCs w:val="20"/>
        </w:rPr>
        <w:t xml:space="preserve"> 7</w:t>
      </w:r>
      <w:r w:rsidRPr="00DC13A0">
        <w:rPr>
          <w:rFonts w:cstheme="minorHAnsi"/>
          <w:b/>
          <w:color w:val="00457D"/>
          <w:sz w:val="20"/>
          <w:szCs w:val="20"/>
        </w:rPr>
        <w:t>. Saldi mobilità interregionale 2012-2021 (riparto FSN 2014-2023)</w:t>
      </w:r>
    </w:p>
    <w:p w14:paraId="44AA5C26" w14:textId="77777777" w:rsidR="00465E23" w:rsidRPr="001C2936" w:rsidRDefault="00465E23" w:rsidP="00465E23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color w:val="FF0000"/>
          <w:sz w:val="18"/>
          <w:lang w:eastAsia="it-IT"/>
        </w:rPr>
      </w:pPr>
      <w:r>
        <w:rPr>
          <w:rFonts w:ascii="Cambria" w:eastAsia="Times New Roman" w:hAnsi="Cambria" w:cs="Times New Roman"/>
          <w:b/>
          <w:noProof/>
          <w:color w:val="FF0000"/>
          <w:sz w:val="18"/>
          <w:lang w:eastAsia="it-IT"/>
        </w:rPr>
        <w:drawing>
          <wp:inline distT="0" distB="0" distL="0" distR="0" wp14:anchorId="43010027" wp14:editId="16ABC275">
            <wp:extent cx="5760000" cy="3907209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907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DE715" w14:textId="77777777" w:rsidR="00465E23" w:rsidRDefault="00465E23" w:rsidP="00465E23">
      <w:pPr>
        <w:spacing w:before="120" w:after="240"/>
        <w:jc w:val="center"/>
        <w:rPr>
          <w:rFonts w:ascii="Cambria" w:hAnsi="Cambria"/>
          <w:b/>
          <w:color w:val="00457D"/>
          <w:sz w:val="18"/>
          <w:szCs w:val="20"/>
        </w:rPr>
      </w:pPr>
    </w:p>
    <w:p w14:paraId="02B70333" w14:textId="77777777" w:rsidR="00DC13A0" w:rsidRDefault="00465E23" w:rsidP="00465E23">
      <w:pPr>
        <w:suppressAutoHyphens/>
        <w:spacing w:before="120" w:after="0"/>
        <w:jc w:val="center"/>
        <w:rPr>
          <w:rFonts w:ascii="Cambria" w:hAnsi="Cambria"/>
          <w:b/>
          <w:color w:val="00457D"/>
          <w:sz w:val="18"/>
          <w:szCs w:val="20"/>
        </w:rPr>
      </w:pPr>
      <w:r>
        <w:rPr>
          <w:rFonts w:ascii="Cambria" w:hAnsi="Cambria"/>
          <w:b/>
          <w:color w:val="00457D"/>
          <w:sz w:val="18"/>
          <w:szCs w:val="20"/>
        </w:rPr>
        <w:br w:type="page"/>
      </w:r>
    </w:p>
    <w:p w14:paraId="42026497" w14:textId="77777777" w:rsidR="00DC13A0" w:rsidRDefault="00DC13A0" w:rsidP="00465E23">
      <w:pPr>
        <w:suppressAutoHyphens/>
        <w:spacing w:before="120" w:after="0"/>
        <w:jc w:val="center"/>
        <w:rPr>
          <w:rFonts w:ascii="Cambria" w:hAnsi="Cambria"/>
          <w:b/>
          <w:color w:val="00457D"/>
          <w:sz w:val="18"/>
          <w:szCs w:val="20"/>
        </w:rPr>
      </w:pPr>
    </w:p>
    <w:p w14:paraId="70D9BD03" w14:textId="67793153" w:rsidR="00DC13A0" w:rsidRPr="00FF7F07" w:rsidRDefault="00465E23" w:rsidP="00DC13A0">
      <w:pPr>
        <w:spacing w:before="120" w:after="240"/>
        <w:jc w:val="center"/>
        <w:rPr>
          <w:rFonts w:ascii="Cambria" w:hAnsi="Cambria"/>
        </w:rPr>
      </w:pPr>
      <w:r w:rsidRPr="00DC13A0">
        <w:rPr>
          <w:rFonts w:cstheme="minorHAnsi"/>
          <w:b/>
          <w:color w:val="00457D"/>
          <w:sz w:val="20"/>
          <w:szCs w:val="20"/>
        </w:rPr>
        <w:t xml:space="preserve">Tabella </w:t>
      </w:r>
      <w:r w:rsidR="00DB14C1">
        <w:rPr>
          <w:rFonts w:cstheme="minorHAnsi"/>
          <w:b/>
          <w:color w:val="00457D"/>
          <w:sz w:val="20"/>
          <w:szCs w:val="20"/>
        </w:rPr>
        <w:t>3</w:t>
      </w:r>
      <w:r w:rsidRPr="00DC13A0">
        <w:rPr>
          <w:rFonts w:cstheme="minorHAnsi"/>
          <w:b/>
          <w:color w:val="00457D"/>
          <w:sz w:val="20"/>
          <w:szCs w:val="20"/>
        </w:rPr>
        <w:t>. C</w:t>
      </w:r>
      <w:r w:rsidR="00640287">
        <w:rPr>
          <w:rFonts w:cstheme="minorHAnsi"/>
          <w:b/>
          <w:color w:val="00457D"/>
          <w:sz w:val="20"/>
          <w:szCs w:val="20"/>
        </w:rPr>
        <w:t xml:space="preserve">ase </w:t>
      </w:r>
      <w:r w:rsidRPr="00DC13A0">
        <w:rPr>
          <w:rFonts w:cstheme="minorHAnsi"/>
          <w:b/>
          <w:color w:val="00457D"/>
          <w:sz w:val="20"/>
          <w:szCs w:val="20"/>
        </w:rPr>
        <w:t>d</w:t>
      </w:r>
      <w:r w:rsidR="00640287">
        <w:rPr>
          <w:rFonts w:cstheme="minorHAnsi"/>
          <w:b/>
          <w:color w:val="00457D"/>
          <w:sz w:val="20"/>
          <w:szCs w:val="20"/>
        </w:rPr>
        <w:t xml:space="preserve">ella </w:t>
      </w:r>
      <w:r w:rsidRPr="00DC13A0">
        <w:rPr>
          <w:rFonts w:cstheme="minorHAnsi"/>
          <w:b/>
          <w:color w:val="00457D"/>
          <w:sz w:val="20"/>
          <w:szCs w:val="20"/>
        </w:rPr>
        <w:t>C</w:t>
      </w:r>
      <w:r w:rsidR="00640287">
        <w:rPr>
          <w:rFonts w:cstheme="minorHAnsi"/>
          <w:b/>
          <w:color w:val="00457D"/>
          <w:sz w:val="20"/>
          <w:szCs w:val="20"/>
        </w:rPr>
        <w:t>omunità</w:t>
      </w:r>
      <w:r w:rsidRPr="00DC13A0">
        <w:rPr>
          <w:rFonts w:cstheme="minorHAnsi"/>
          <w:b/>
          <w:color w:val="00457D"/>
          <w:sz w:val="20"/>
          <w:szCs w:val="20"/>
        </w:rPr>
        <w:t xml:space="preserve"> previste e dichiarate attive dalle Regioni </w:t>
      </w:r>
      <w:r w:rsidR="001E67B3" w:rsidRPr="00DC13A0">
        <w:rPr>
          <w:rFonts w:cstheme="minorHAnsi"/>
          <w:b/>
          <w:color w:val="00457D"/>
          <w:sz w:val="20"/>
          <w:szCs w:val="20"/>
        </w:rPr>
        <w:t>(dati Agenas</w:t>
      </w:r>
      <w:r w:rsidR="001E67B3">
        <w:rPr>
          <w:rFonts w:cstheme="minorHAnsi"/>
          <w:b/>
          <w:color w:val="00457D"/>
          <w:sz w:val="20"/>
          <w:szCs w:val="20"/>
        </w:rPr>
        <w:t xml:space="preserve"> al 30 giugno 2024</w:t>
      </w:r>
      <w:r w:rsidR="001E67B3" w:rsidRPr="00DC13A0">
        <w:rPr>
          <w:rFonts w:cstheme="minorHAnsi"/>
          <w:b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177"/>
        <w:gridCol w:w="2317"/>
        <w:gridCol w:w="1134"/>
      </w:tblGrid>
      <w:tr w:rsidR="00465E23" w:rsidRPr="008C5370" w14:paraId="1FF65A40" w14:textId="77777777" w:rsidTr="00954739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C3509DC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9C81AC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CdC previste</w:t>
            </w:r>
          </w:p>
        </w:tc>
        <w:tc>
          <w:tcPr>
            <w:tcW w:w="23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CB9419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CdC dichiarate attive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A1698F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%</w:t>
            </w:r>
          </w:p>
        </w:tc>
      </w:tr>
      <w:tr w:rsidR="00465E23" w:rsidRPr="008C5370" w14:paraId="1D88C312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11706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Lombardia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D2FD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8F17C8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43726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66%</w:t>
            </w:r>
          </w:p>
        </w:tc>
      </w:tr>
      <w:tr w:rsidR="00465E23" w:rsidRPr="008C5370" w14:paraId="5DB3865D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B0415D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Veneto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84C9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53066A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FB87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62%</w:t>
            </w:r>
          </w:p>
        </w:tc>
      </w:tr>
      <w:tr w:rsidR="00465E23" w:rsidRPr="008C5370" w14:paraId="2EFFAA93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368A5B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Emilia-Romagna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6A67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B0D022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8E46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52%</w:t>
            </w:r>
          </w:p>
        </w:tc>
      </w:tr>
      <w:tr w:rsidR="00465E23" w:rsidRPr="008C5370" w14:paraId="3F436CA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3F8ABE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Molise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A5D7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1A13C4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93698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38%</w:t>
            </w:r>
          </w:p>
        </w:tc>
      </w:tr>
      <w:tr w:rsidR="00465E23" w:rsidRPr="008C5370" w14:paraId="2585AA7E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AC2700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Piemonte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0E6C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382D1A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1368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21%</w:t>
            </w:r>
          </w:p>
        </w:tc>
      </w:tr>
      <w:tr w:rsidR="00465E23" w:rsidRPr="008C5370" w14:paraId="145F42B6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EA6843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Toscana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E869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C6D334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560DE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11%</w:t>
            </w:r>
          </w:p>
        </w:tc>
      </w:tr>
      <w:tr w:rsidR="00465E23" w:rsidRPr="008C5370" w14:paraId="47021EB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8F0F05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FF08E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3BFC6B3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A967D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465E23" w:rsidRPr="008C5370" w14:paraId="26689C0D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612A5F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Liguria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35AD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6E0221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903EE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3%</w:t>
            </w:r>
          </w:p>
        </w:tc>
      </w:tr>
      <w:tr w:rsidR="00465E23" w:rsidRPr="008C5370" w14:paraId="2D94E45B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37695B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Sicilia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1783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CFE8E2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9F7D4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1%</w:t>
            </w:r>
          </w:p>
        </w:tc>
      </w:tr>
      <w:tr w:rsidR="00465E23" w:rsidRPr="008C5370" w14:paraId="31AE8E7B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09444F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Abruzzo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E6EF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D4361D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CDE0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42D7351D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9CD9A8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Basilicata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6B4C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55614F3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7E70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1E49A13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1D6224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Calabria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AD94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497EE06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736DD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5FA6F534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BA2867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Campania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CA91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BDFE7F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2DE4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4BBAEB4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19C5CD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6114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7F90C4E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EA70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146EFBD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E19328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7497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22AFFB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148B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4A9DC21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BFD713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Prov. Aut. di Bolzano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AAC5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60A1BD6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AED4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37AAF6B8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2BCB84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Prov. Aut. di Trento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B54A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215B725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3F68F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1BCA60B8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C7B7A7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D4E1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109D30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2559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278AA25A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ED3036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Sardegna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F586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17CEC6D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E65F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62A700D6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8326A6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E5A8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14:paraId="0A9333E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39DB8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2F4BF0D1" w14:textId="77777777" w:rsidTr="00954739">
        <w:trPr>
          <w:trHeight w:val="340"/>
          <w:jc w:val="center"/>
        </w:trPr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3BD80030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Valle D'Aosta</w:t>
            </w:r>
          </w:p>
        </w:tc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88C013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E1845C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643A654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465E23" w:rsidRPr="008C5370" w14:paraId="1BB07B2C" w14:textId="77777777" w:rsidTr="00954739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0F625938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b/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4B05844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b/>
                <w:bCs/>
                <w:sz w:val="20"/>
                <w:szCs w:val="20"/>
              </w:rPr>
              <w:t>1.421</w:t>
            </w:r>
          </w:p>
        </w:tc>
        <w:tc>
          <w:tcPr>
            <w:tcW w:w="23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2DB03D7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5D337F8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cstheme="minorHAnsi"/>
                <w:b/>
                <w:bCs/>
                <w:sz w:val="20"/>
                <w:szCs w:val="20"/>
              </w:rPr>
              <w:t>19%</w:t>
            </w:r>
          </w:p>
        </w:tc>
      </w:tr>
    </w:tbl>
    <w:p w14:paraId="5C71F6A3" w14:textId="77777777" w:rsidR="00465E23" w:rsidRDefault="00465E23" w:rsidP="00465E23">
      <w:pPr>
        <w:suppressAutoHyphens/>
        <w:jc w:val="both"/>
        <w:rPr>
          <w:rFonts w:ascii="Cambria" w:hAnsi="Cambria"/>
          <w:b/>
          <w:bCs/>
          <w:color w:val="00457D"/>
          <w:spacing w:val="2"/>
        </w:rPr>
      </w:pPr>
    </w:p>
    <w:p w14:paraId="1B0FB923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453E3919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7F21558F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3CDC5B37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6CA42804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70A015E4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4874B028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3F96D0C3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17D3A7B4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2DD55638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6C59742A" w14:textId="77777777" w:rsidR="00DC13A0" w:rsidRDefault="00DC13A0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</w:p>
    <w:p w14:paraId="3ECA5696" w14:textId="7B8134F3" w:rsidR="00465E23" w:rsidRPr="00DC13A0" w:rsidRDefault="00465E23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 xml:space="preserve">Tabella </w:t>
      </w:r>
      <w:r w:rsidR="00DB14C1">
        <w:rPr>
          <w:rFonts w:cstheme="minorHAnsi"/>
          <w:b/>
          <w:color w:val="00457D"/>
          <w:sz w:val="20"/>
          <w:szCs w:val="20"/>
        </w:rPr>
        <w:t>4</w:t>
      </w:r>
      <w:r w:rsidRPr="00DC13A0">
        <w:rPr>
          <w:rFonts w:cstheme="minorHAnsi"/>
          <w:b/>
          <w:color w:val="00457D"/>
          <w:sz w:val="20"/>
          <w:szCs w:val="20"/>
        </w:rPr>
        <w:t>. C</w:t>
      </w:r>
      <w:r w:rsidR="00640287">
        <w:rPr>
          <w:rFonts w:cstheme="minorHAnsi"/>
          <w:b/>
          <w:color w:val="00457D"/>
          <w:sz w:val="20"/>
          <w:szCs w:val="20"/>
        </w:rPr>
        <w:t xml:space="preserve">entrali </w:t>
      </w:r>
      <w:r w:rsidRPr="00DC13A0">
        <w:rPr>
          <w:rFonts w:cstheme="minorHAnsi"/>
          <w:b/>
          <w:color w:val="00457D"/>
          <w:sz w:val="20"/>
          <w:szCs w:val="20"/>
        </w:rPr>
        <w:t>O</w:t>
      </w:r>
      <w:r w:rsidR="00640287">
        <w:rPr>
          <w:rFonts w:cstheme="minorHAnsi"/>
          <w:b/>
          <w:color w:val="00457D"/>
          <w:sz w:val="20"/>
          <w:szCs w:val="20"/>
        </w:rPr>
        <w:t xml:space="preserve">perative </w:t>
      </w:r>
      <w:r w:rsidRPr="00DC13A0">
        <w:rPr>
          <w:rFonts w:cstheme="minorHAnsi"/>
          <w:b/>
          <w:color w:val="00457D"/>
          <w:sz w:val="20"/>
          <w:szCs w:val="20"/>
        </w:rPr>
        <w:t>T</w:t>
      </w:r>
      <w:r w:rsidR="00640287">
        <w:rPr>
          <w:rFonts w:cstheme="minorHAnsi"/>
          <w:b/>
          <w:color w:val="00457D"/>
          <w:sz w:val="20"/>
          <w:szCs w:val="20"/>
        </w:rPr>
        <w:t>erritoriali</w:t>
      </w:r>
      <w:r w:rsidRPr="00DC13A0">
        <w:rPr>
          <w:rFonts w:cstheme="minorHAnsi"/>
          <w:b/>
          <w:color w:val="00457D"/>
          <w:sz w:val="20"/>
          <w:szCs w:val="20"/>
        </w:rPr>
        <w:t xml:space="preserve"> previste e attive già verificate </w:t>
      </w:r>
      <w:r w:rsidR="001E67B3" w:rsidRPr="00DC13A0">
        <w:rPr>
          <w:rFonts w:cstheme="minorHAnsi"/>
          <w:b/>
          <w:color w:val="00457D"/>
          <w:sz w:val="20"/>
          <w:szCs w:val="20"/>
        </w:rPr>
        <w:t>(dati Agenas</w:t>
      </w:r>
      <w:r w:rsidR="001E67B3">
        <w:rPr>
          <w:rFonts w:cstheme="minorHAnsi"/>
          <w:b/>
          <w:color w:val="00457D"/>
          <w:sz w:val="20"/>
          <w:szCs w:val="20"/>
        </w:rPr>
        <w:t xml:space="preserve"> al 30 giugno 2024</w:t>
      </w:r>
      <w:r w:rsidR="001E67B3" w:rsidRPr="00DC13A0">
        <w:rPr>
          <w:rFonts w:cstheme="minorHAnsi"/>
          <w:b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199"/>
        <w:gridCol w:w="1795"/>
        <w:gridCol w:w="1134"/>
      </w:tblGrid>
      <w:tr w:rsidR="00465E23" w:rsidRPr="008C5370" w14:paraId="5F62B375" w14:textId="77777777" w:rsidTr="00954739">
        <w:trPr>
          <w:trHeight w:val="567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3687E8C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ACBBAB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COT previste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4C5FFA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COT pienamente funzionanti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AEC897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%</w:t>
            </w:r>
          </w:p>
        </w:tc>
      </w:tr>
      <w:tr w:rsidR="00465E23" w:rsidRPr="008C5370" w14:paraId="378C940A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B7AE0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5C86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515056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C59C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100%</w:t>
            </w:r>
          </w:p>
        </w:tc>
      </w:tr>
      <w:tr w:rsidR="00465E23" w:rsidRPr="008C5370" w14:paraId="793A71B3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80353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449C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9CEAA0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E003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100%</w:t>
            </w:r>
          </w:p>
        </w:tc>
      </w:tr>
      <w:tr w:rsidR="00465E23" w:rsidRPr="008C5370" w14:paraId="06FE1F0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8E3AD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di Bolzano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3433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4927110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587F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100%</w:t>
            </w:r>
          </w:p>
        </w:tc>
      </w:tr>
      <w:tr w:rsidR="00465E23" w:rsidRPr="008C5370" w14:paraId="1A1D2BE4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9BCD7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E67C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96F6DA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E298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100%</w:t>
            </w:r>
          </w:p>
        </w:tc>
      </w:tr>
      <w:tr w:rsidR="00465E23" w:rsidRPr="008C5370" w14:paraId="3C0A0B0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9949B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6E2C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EA7293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3ED0E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100%</w:t>
            </w:r>
          </w:p>
        </w:tc>
      </w:tr>
      <w:tr w:rsidR="00465E23" w:rsidRPr="008C5370" w14:paraId="36B5E88A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5D652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BEC4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2473DCC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A4DC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98%</w:t>
            </w:r>
          </w:p>
        </w:tc>
      </w:tr>
      <w:tr w:rsidR="00465E23" w:rsidRPr="008C5370" w14:paraId="2F63F9F9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6C089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52FC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E7676E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C49B3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98%</w:t>
            </w:r>
          </w:p>
        </w:tc>
      </w:tr>
      <w:tr w:rsidR="00465E23" w:rsidRPr="008C5370" w14:paraId="0F265D93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983CD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21EB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32265F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EBA1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95%</w:t>
            </w:r>
          </w:p>
        </w:tc>
      </w:tr>
      <w:tr w:rsidR="00465E23" w:rsidRPr="008C5370" w14:paraId="31A7AE3F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099FB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01A4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97C3B4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B02C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88%</w:t>
            </w:r>
          </w:p>
        </w:tc>
      </w:tr>
      <w:tr w:rsidR="00465E23" w:rsidRPr="008C5370" w14:paraId="01BFF1F0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461B6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526C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E9DB22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95B4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84%</w:t>
            </w:r>
          </w:p>
        </w:tc>
      </w:tr>
      <w:tr w:rsidR="00465E23" w:rsidRPr="008C5370" w14:paraId="32C7ADDF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145AE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AE53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4C9673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8C3A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76%</w:t>
            </w:r>
          </w:p>
        </w:tc>
      </w:tr>
      <w:tr w:rsidR="00465E23" w:rsidRPr="008C5370" w14:paraId="727F7C19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61EC0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68451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35FEE5B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FE34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75%</w:t>
            </w:r>
          </w:p>
        </w:tc>
      </w:tr>
      <w:tr w:rsidR="00465E23" w:rsidRPr="008C5370" w14:paraId="597E4DF9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8D2B4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8148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4648C11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5140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63%</w:t>
            </w:r>
          </w:p>
        </w:tc>
      </w:tr>
      <w:tr w:rsidR="00465E23" w:rsidRPr="008C5370" w14:paraId="71E4FD0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225FE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867A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28AC439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A936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18%</w:t>
            </w:r>
          </w:p>
        </w:tc>
      </w:tr>
      <w:tr w:rsidR="00465E23" w:rsidRPr="008C5370" w14:paraId="07FF0384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BDB11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0202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CFF21B4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BD01E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3FA47A3A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69773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CEEF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24871E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7055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0FB1CF2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1CF93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50DBA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2DC4B7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73B10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3AFCB702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59637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07D8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41D14DD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6342E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7E8156FF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58998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C32B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6B317B5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16A8C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7FA058BF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3622F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di Trento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A6E2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412FC5A6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E4D1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45174314" w14:textId="77777777" w:rsidTr="00954739">
        <w:trPr>
          <w:trHeight w:val="340"/>
          <w:jc w:val="center"/>
        </w:trPr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5799F15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5D8C0AB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79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7644A5F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85E7B7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465E23" w:rsidRPr="008C5370" w14:paraId="3A74C6BF" w14:textId="77777777" w:rsidTr="00954739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7529D0" w14:textId="77777777" w:rsidR="00465E23" w:rsidRPr="008C5370" w:rsidRDefault="00465E23" w:rsidP="0095473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1D1D858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611</w:t>
            </w:r>
          </w:p>
        </w:tc>
        <w:tc>
          <w:tcPr>
            <w:tcW w:w="17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A658242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362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342F319" w14:textId="77777777" w:rsidR="00465E23" w:rsidRPr="008C5370" w:rsidRDefault="00465E23" w:rsidP="0095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C537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59%</w:t>
            </w:r>
          </w:p>
        </w:tc>
      </w:tr>
    </w:tbl>
    <w:p w14:paraId="2CF95DDD" w14:textId="77777777" w:rsidR="00465E23" w:rsidRDefault="00465E23" w:rsidP="00465E23">
      <w:pPr>
        <w:jc w:val="both"/>
        <w:rPr>
          <w:rFonts w:ascii="Cambria" w:hAnsi="Cambria"/>
        </w:rPr>
      </w:pPr>
    </w:p>
    <w:p w14:paraId="7592B4E8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18332F61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7EAD62E4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5CB7D00B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12B522B8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4A01B5D3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3EA93658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7C96ADE0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3B995765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04BAA2A0" w14:textId="77777777" w:rsidR="00DC13A0" w:rsidRDefault="00DC13A0" w:rsidP="00465E23">
      <w:pPr>
        <w:suppressAutoHyphens/>
        <w:spacing w:before="120" w:after="300"/>
        <w:jc w:val="center"/>
        <w:rPr>
          <w:rFonts w:ascii="Cambria" w:hAnsi="Cambria"/>
          <w:b/>
          <w:bCs/>
          <w:color w:val="00457D"/>
          <w:sz w:val="18"/>
          <w:szCs w:val="20"/>
        </w:rPr>
      </w:pPr>
    </w:p>
    <w:p w14:paraId="06FD7AF1" w14:textId="78D2BFF1" w:rsidR="00465E23" w:rsidRPr="00DC13A0" w:rsidRDefault="00465E23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 xml:space="preserve">Tabella </w:t>
      </w:r>
      <w:r w:rsidR="00DB14C1">
        <w:rPr>
          <w:rFonts w:cstheme="minorHAnsi"/>
          <w:b/>
          <w:color w:val="00457D"/>
          <w:sz w:val="20"/>
          <w:szCs w:val="20"/>
        </w:rPr>
        <w:t>5</w:t>
      </w:r>
      <w:r w:rsidRPr="00DC13A0">
        <w:rPr>
          <w:rFonts w:cstheme="minorHAnsi"/>
          <w:b/>
          <w:color w:val="00457D"/>
          <w:sz w:val="20"/>
          <w:szCs w:val="20"/>
        </w:rPr>
        <w:t xml:space="preserve">. </w:t>
      </w:r>
      <w:r w:rsidR="00640287">
        <w:rPr>
          <w:rFonts w:cstheme="minorHAnsi"/>
          <w:b/>
          <w:color w:val="00457D"/>
          <w:sz w:val="20"/>
          <w:szCs w:val="20"/>
        </w:rPr>
        <w:t>Ospedali di Comunità</w:t>
      </w:r>
      <w:r w:rsidR="00640287" w:rsidRPr="00DC13A0">
        <w:rPr>
          <w:rFonts w:cstheme="minorHAnsi"/>
          <w:b/>
          <w:color w:val="00457D"/>
          <w:sz w:val="20"/>
          <w:szCs w:val="20"/>
        </w:rPr>
        <w:t xml:space="preserve"> </w:t>
      </w:r>
      <w:r w:rsidRPr="00DC13A0">
        <w:rPr>
          <w:rFonts w:cstheme="minorHAnsi"/>
          <w:b/>
          <w:color w:val="00457D"/>
          <w:sz w:val="20"/>
          <w:szCs w:val="20"/>
        </w:rPr>
        <w:t>previsti</w:t>
      </w:r>
      <w:r w:rsidR="001E67B3">
        <w:rPr>
          <w:rFonts w:cstheme="minorHAnsi"/>
          <w:b/>
          <w:color w:val="00457D"/>
          <w:sz w:val="20"/>
          <w:szCs w:val="20"/>
        </w:rPr>
        <w:t xml:space="preserve"> e dichiarati attivi dalle Regioni </w:t>
      </w:r>
      <w:r w:rsidRPr="00DC13A0">
        <w:rPr>
          <w:rFonts w:cstheme="minorHAnsi"/>
          <w:b/>
          <w:color w:val="00457D"/>
          <w:sz w:val="20"/>
          <w:szCs w:val="20"/>
        </w:rPr>
        <w:t>(dati Agenas</w:t>
      </w:r>
      <w:r w:rsidR="001E67B3">
        <w:rPr>
          <w:rFonts w:cstheme="minorHAnsi"/>
          <w:b/>
          <w:color w:val="00457D"/>
          <w:sz w:val="20"/>
          <w:szCs w:val="20"/>
        </w:rPr>
        <w:t xml:space="preserve"> al 30 giugno 2024</w:t>
      </w:r>
      <w:r w:rsidRPr="00DC13A0">
        <w:rPr>
          <w:rFonts w:cstheme="minorHAnsi"/>
          <w:b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272"/>
        <w:gridCol w:w="2149"/>
        <w:gridCol w:w="1134"/>
      </w:tblGrid>
      <w:tr w:rsidR="00465E23" w:rsidRPr="00781829" w14:paraId="7ED16B62" w14:textId="77777777" w:rsidTr="00954739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5622679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16ACF44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OdC previsti</w:t>
            </w:r>
          </w:p>
        </w:tc>
        <w:tc>
          <w:tcPr>
            <w:tcW w:w="21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99E3F5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OdC 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dichiarati </w:t>
            </w: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attivi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6F0CC1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%</w:t>
            </w:r>
          </w:p>
        </w:tc>
      </w:tr>
      <w:tr w:rsidR="00465E23" w:rsidRPr="00781829" w14:paraId="1AE1550A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18C2E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Molise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BAB0A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31D487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0FE8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100%</w:t>
            </w:r>
          </w:p>
        </w:tc>
      </w:tr>
      <w:tr w:rsidR="00465E23" w:rsidRPr="00781829" w14:paraId="57346D4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882BDC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Veneto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77ED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6A9A2232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D09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43%</w:t>
            </w:r>
          </w:p>
        </w:tc>
      </w:tr>
      <w:tr w:rsidR="00465E23" w:rsidRPr="00781829" w14:paraId="550A795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50D00D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Lombardia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A5059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63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1F9471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281DC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33%</w:t>
            </w:r>
          </w:p>
        </w:tc>
      </w:tr>
      <w:tr w:rsidR="00465E23" w:rsidRPr="00781829" w14:paraId="59D229F1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DEAF1E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Puglia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0CC92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38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5AE4B92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9F1AC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18%</w:t>
            </w:r>
          </w:p>
        </w:tc>
      </w:tr>
      <w:tr w:rsidR="00465E23" w:rsidRPr="00781829" w14:paraId="5BC2E652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9FD57E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Abruzzo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E45E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85C5D9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F96A5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18%</w:t>
            </w:r>
          </w:p>
        </w:tc>
      </w:tr>
      <w:tr w:rsidR="00465E23" w:rsidRPr="00781829" w14:paraId="6842B56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0AC256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Liguria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E4252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5D31EE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5558F6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18%</w:t>
            </w:r>
          </w:p>
        </w:tc>
      </w:tr>
      <w:tr w:rsidR="00465E23" w:rsidRPr="00781829" w14:paraId="5FF3A640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36EB31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Emilia-Romagna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99369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6EC91076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897FAC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15%</w:t>
            </w:r>
          </w:p>
        </w:tc>
      </w:tr>
      <w:tr w:rsidR="00465E23" w:rsidRPr="00781829" w14:paraId="4FE5552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3DCB01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Marche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1B27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0848558D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06BF4A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11%</w:t>
            </w:r>
          </w:p>
        </w:tc>
      </w:tr>
      <w:tr w:rsidR="00465E23" w:rsidRPr="00781829" w14:paraId="7E7B4AA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04F6C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Sardegna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3BA0D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B355A10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CD13BE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8%</w:t>
            </w:r>
          </w:p>
        </w:tc>
      </w:tr>
      <w:tr w:rsidR="00465E23" w:rsidRPr="00781829" w14:paraId="4537FE0D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EB87FD" w14:textId="77777777" w:rsidR="00465E23" w:rsidRPr="00356595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356595">
              <w:rPr>
                <w:rFonts w:ascii="Cambria" w:hAnsi="Cambria"/>
                <w:sz w:val="20"/>
                <w:szCs w:val="20"/>
              </w:rPr>
              <w:t>Campania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CCC0E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48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03BCF215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FBD90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2%</w:t>
            </w:r>
          </w:p>
        </w:tc>
      </w:tr>
      <w:tr w:rsidR="00465E23" w:rsidRPr="00781829" w14:paraId="7D7EA8B3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1A102B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Basilicata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B0B20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E16ABBC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70E5B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7B8FA3CC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1ACD97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Calabria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E0FB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7BDD50B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2E09C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16F13D17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8BD539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Friuli Venezia Giulia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FDF5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07A7310C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14E2F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6A97CBCB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C150EE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Lazio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A8F6D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256D480D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1F38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6D566825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721777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Piemonte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B1F94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FF7211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D75A0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606B8A20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E6384C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Prov. Aut. di Bolzano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A81F7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5328D01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33F9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0F6D6651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9EDAA6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Prov. Aut. di Trento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6D0CC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EF4E85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14CD6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6E844560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FAEA38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Sicilia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85A69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38B12F8F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A4A62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75A3E35E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66616B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Toscana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440AD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32221E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AD0AB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56518D22" w14:textId="77777777" w:rsidTr="00954739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5696A5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Umbria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DF76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656924D9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79165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5280BA5E" w14:textId="77777777" w:rsidTr="00954739">
        <w:trPr>
          <w:trHeight w:val="340"/>
          <w:jc w:val="center"/>
        </w:trPr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11A02919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Valle D'Aosta</w:t>
            </w:r>
          </w:p>
        </w:tc>
        <w:tc>
          <w:tcPr>
            <w:tcW w:w="0" w:type="auto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8554C18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0B550E69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591695E1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465E23" w:rsidRPr="00781829" w14:paraId="1FC9265E" w14:textId="77777777" w:rsidTr="00954739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2F7A9BFD" w14:textId="77777777" w:rsidR="00465E23" w:rsidRPr="00781829" w:rsidRDefault="00465E23" w:rsidP="009547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b/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0DBF0BB6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21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530ED93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11723E6" w14:textId="77777777" w:rsidR="00465E23" w:rsidRPr="00781829" w:rsidRDefault="00465E23" w:rsidP="009547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hAnsi="Cambria"/>
                <w:b/>
                <w:bCs/>
                <w:sz w:val="20"/>
                <w:szCs w:val="20"/>
              </w:rPr>
              <w:t>13%</w:t>
            </w:r>
          </w:p>
        </w:tc>
      </w:tr>
    </w:tbl>
    <w:p w14:paraId="02D1A8B6" w14:textId="77777777" w:rsidR="00465E23" w:rsidRPr="008B188C" w:rsidRDefault="00465E23" w:rsidP="00465E23">
      <w:pPr>
        <w:spacing w:before="120" w:after="240"/>
        <w:jc w:val="center"/>
        <w:rPr>
          <w:rFonts w:ascii="Cambria" w:hAnsi="Cambria"/>
          <w:b/>
          <w:color w:val="00457D"/>
          <w:sz w:val="18"/>
          <w:szCs w:val="20"/>
        </w:rPr>
      </w:pPr>
    </w:p>
    <w:p w14:paraId="40420950" w14:textId="77777777" w:rsidR="00465E23" w:rsidRDefault="00465E23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406C0893" w14:textId="77777777" w:rsidR="00174C4A" w:rsidRPr="00DC13A0" w:rsidRDefault="00174C4A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lastRenderedPageBreak/>
        <w:t>Figura 8. Percentuale di posti letto aggiuntivi di terapia intensiva realizzati al 31 luglio 2024</w:t>
      </w:r>
    </w:p>
    <w:p w14:paraId="0B91B6F6" w14:textId="77777777" w:rsidR="00174C4A" w:rsidRDefault="00174C4A" w:rsidP="00174C4A">
      <w:pPr>
        <w:suppressAutoHyphens/>
        <w:spacing w:before="120" w:after="0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 wp14:anchorId="10BF0062" wp14:editId="0A7E6FAB">
            <wp:extent cx="4867275" cy="4095496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39" cy="410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4C0C0" w14:textId="77777777" w:rsidR="00174C4A" w:rsidRDefault="00174C4A">
      <w:pPr>
        <w:rPr>
          <w:rFonts w:ascii="Cambria" w:hAnsi="Cambria"/>
          <w:b/>
          <w:bCs/>
          <w:color w:val="00457D"/>
          <w:sz w:val="18"/>
          <w:szCs w:val="20"/>
        </w:rPr>
      </w:pPr>
    </w:p>
    <w:p w14:paraId="4D03673B" w14:textId="77777777" w:rsidR="00174C4A" w:rsidRDefault="00174C4A" w:rsidP="00DC13A0">
      <w:pPr>
        <w:spacing w:before="120" w:after="240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>Figura 9. Percentuale di posti letto aggiuntivi di terapia sub-intensiva realizzati al 31 luglio 2024</w:t>
      </w:r>
    </w:p>
    <w:p w14:paraId="169C286A" w14:textId="77777777" w:rsidR="00822D6D" w:rsidRPr="0099030D" w:rsidRDefault="00174C4A" w:rsidP="00DC13A0">
      <w:pPr>
        <w:suppressAutoHyphens/>
        <w:spacing w:before="120" w:after="0"/>
        <w:jc w:val="center"/>
        <w:rPr>
          <w:rFonts w:eastAsia="Calibri" w:cstheme="minorHAnsi"/>
        </w:rPr>
      </w:pPr>
      <w:r>
        <w:rPr>
          <w:rFonts w:ascii="Cambria" w:hAnsi="Cambria"/>
          <w:b/>
          <w:bCs/>
          <w:noProof/>
          <w:color w:val="FF0000"/>
          <w:sz w:val="18"/>
          <w:szCs w:val="20"/>
          <w:lang w:eastAsia="it-IT"/>
        </w:rPr>
        <w:drawing>
          <wp:inline distT="0" distB="0" distL="0" distR="0" wp14:anchorId="2F8EB236" wp14:editId="10579936">
            <wp:extent cx="4867275" cy="4095496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06" cy="410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2D6D" w:rsidRPr="0099030D" w:rsidSect="000830EF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1E2A" w14:textId="77777777" w:rsidR="009D2828" w:rsidRDefault="009D2828" w:rsidP="00ED0CFD">
      <w:pPr>
        <w:spacing w:after="0" w:line="240" w:lineRule="auto"/>
      </w:pPr>
      <w:r>
        <w:separator/>
      </w:r>
    </w:p>
  </w:endnote>
  <w:endnote w:type="continuationSeparator" w:id="0">
    <w:p w14:paraId="115341FE" w14:textId="77777777" w:rsidR="009D2828" w:rsidRDefault="009D2828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A5C1" w14:textId="77777777" w:rsidR="009D2828" w:rsidRDefault="009D2828" w:rsidP="00ED0CFD">
      <w:pPr>
        <w:spacing w:after="0" w:line="240" w:lineRule="auto"/>
      </w:pPr>
      <w:r>
        <w:separator/>
      </w:r>
    </w:p>
  </w:footnote>
  <w:footnote w:type="continuationSeparator" w:id="0">
    <w:p w14:paraId="1725A072" w14:textId="77777777" w:rsidR="009D2828" w:rsidRDefault="009D2828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286E" w14:textId="77777777" w:rsidR="00954739" w:rsidRPr="00F13D85" w:rsidRDefault="00954739" w:rsidP="00F13D85">
    <w:pPr>
      <w:pStyle w:val="Intestazione"/>
      <w:jc w:val="center"/>
      <w:rPr>
        <w:b/>
        <w:color w:val="FF0000"/>
        <w:sz w:val="44"/>
        <w:szCs w:val="44"/>
      </w:rPr>
    </w:pPr>
    <w:r w:rsidRPr="00F13D85">
      <w:rPr>
        <w:b/>
        <w:color w:val="FF0000"/>
        <w:sz w:val="44"/>
        <w:szCs w:val="44"/>
      </w:rPr>
      <w:t>EMBARGO</w:t>
    </w:r>
    <w:r>
      <w:rPr>
        <w:b/>
        <w:color w:val="FF0000"/>
        <w:sz w:val="44"/>
        <w:szCs w:val="44"/>
      </w:rPr>
      <w:t>:</w:t>
    </w:r>
    <w:r w:rsidRPr="00F13D85">
      <w:rPr>
        <w:b/>
        <w:color w:val="FF0000"/>
        <w:sz w:val="44"/>
        <w:szCs w:val="44"/>
      </w:rPr>
      <w:t xml:space="preserve"> </w:t>
    </w:r>
    <w:r>
      <w:rPr>
        <w:b/>
        <w:color w:val="FF0000"/>
        <w:sz w:val="44"/>
        <w:szCs w:val="44"/>
      </w:rPr>
      <w:t>8</w:t>
    </w:r>
    <w:r w:rsidRPr="00F13D85">
      <w:rPr>
        <w:b/>
        <w:color w:val="FF0000"/>
        <w:sz w:val="44"/>
        <w:szCs w:val="44"/>
      </w:rPr>
      <w:t xml:space="preserve"> ottobre 202</w:t>
    </w:r>
    <w:r>
      <w:rPr>
        <w:b/>
        <w:color w:val="FF0000"/>
        <w:sz w:val="44"/>
        <w:szCs w:val="44"/>
      </w:rPr>
      <w:t>4, ore 11.00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138A"/>
    <w:multiLevelType w:val="multilevel"/>
    <w:tmpl w:val="A040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3516F"/>
    <w:multiLevelType w:val="multilevel"/>
    <w:tmpl w:val="96E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A6233"/>
    <w:multiLevelType w:val="multilevel"/>
    <w:tmpl w:val="FF1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86EFC"/>
    <w:multiLevelType w:val="multilevel"/>
    <w:tmpl w:val="0B0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20"/>
  </w:num>
  <w:num w:numId="7">
    <w:abstractNumId w:val="30"/>
  </w:num>
  <w:num w:numId="8">
    <w:abstractNumId w:val="28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25"/>
  </w:num>
  <w:num w:numId="14">
    <w:abstractNumId w:val="7"/>
  </w:num>
  <w:num w:numId="15">
    <w:abstractNumId w:val="24"/>
  </w:num>
  <w:num w:numId="16">
    <w:abstractNumId w:val="38"/>
  </w:num>
  <w:num w:numId="17">
    <w:abstractNumId w:val="22"/>
  </w:num>
  <w:num w:numId="18">
    <w:abstractNumId w:val="18"/>
  </w:num>
  <w:num w:numId="19">
    <w:abstractNumId w:val="34"/>
  </w:num>
  <w:num w:numId="20">
    <w:abstractNumId w:val="29"/>
  </w:num>
  <w:num w:numId="21">
    <w:abstractNumId w:val="6"/>
  </w:num>
  <w:num w:numId="22">
    <w:abstractNumId w:val="26"/>
  </w:num>
  <w:num w:numId="23">
    <w:abstractNumId w:val="19"/>
  </w:num>
  <w:num w:numId="24">
    <w:abstractNumId w:val="10"/>
  </w:num>
  <w:num w:numId="25">
    <w:abstractNumId w:val="3"/>
  </w:num>
  <w:num w:numId="26">
    <w:abstractNumId w:val="14"/>
  </w:num>
  <w:num w:numId="27">
    <w:abstractNumId w:val="37"/>
  </w:num>
  <w:num w:numId="28">
    <w:abstractNumId w:val="27"/>
  </w:num>
  <w:num w:numId="29">
    <w:abstractNumId w:val="0"/>
  </w:num>
  <w:num w:numId="30">
    <w:abstractNumId w:val="8"/>
  </w:num>
  <w:num w:numId="31">
    <w:abstractNumId w:val="39"/>
  </w:num>
  <w:num w:numId="32">
    <w:abstractNumId w:val="16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31"/>
  </w:num>
  <w:num w:numId="38">
    <w:abstractNumId w:val="9"/>
  </w:num>
  <w:num w:numId="39">
    <w:abstractNumId w:val="12"/>
  </w:num>
  <w:num w:numId="40">
    <w:abstractNumId w:val="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10498"/>
    <w:rsid w:val="0001114E"/>
    <w:rsid w:val="000123C4"/>
    <w:rsid w:val="00013005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091F"/>
    <w:rsid w:val="0004410A"/>
    <w:rsid w:val="00051F7A"/>
    <w:rsid w:val="000523E0"/>
    <w:rsid w:val="0005402C"/>
    <w:rsid w:val="00054250"/>
    <w:rsid w:val="00055180"/>
    <w:rsid w:val="00055AE9"/>
    <w:rsid w:val="00055D27"/>
    <w:rsid w:val="000577BC"/>
    <w:rsid w:val="000602AA"/>
    <w:rsid w:val="000615B8"/>
    <w:rsid w:val="000617E9"/>
    <w:rsid w:val="0006440E"/>
    <w:rsid w:val="000657A8"/>
    <w:rsid w:val="000662E3"/>
    <w:rsid w:val="00066FC5"/>
    <w:rsid w:val="000673AF"/>
    <w:rsid w:val="00067ACA"/>
    <w:rsid w:val="00067B8F"/>
    <w:rsid w:val="000707B3"/>
    <w:rsid w:val="00070C28"/>
    <w:rsid w:val="000715A9"/>
    <w:rsid w:val="00071F0A"/>
    <w:rsid w:val="00073870"/>
    <w:rsid w:val="00074788"/>
    <w:rsid w:val="000751C3"/>
    <w:rsid w:val="000754CA"/>
    <w:rsid w:val="00075BA4"/>
    <w:rsid w:val="00076A48"/>
    <w:rsid w:val="000771A4"/>
    <w:rsid w:val="000815B7"/>
    <w:rsid w:val="00081D0A"/>
    <w:rsid w:val="000830EF"/>
    <w:rsid w:val="00085590"/>
    <w:rsid w:val="000863FA"/>
    <w:rsid w:val="0008748D"/>
    <w:rsid w:val="00090A39"/>
    <w:rsid w:val="00090B7E"/>
    <w:rsid w:val="00090CF8"/>
    <w:rsid w:val="00092600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D02E4"/>
    <w:rsid w:val="000D1377"/>
    <w:rsid w:val="000D17FB"/>
    <w:rsid w:val="000D25AC"/>
    <w:rsid w:val="000D3C58"/>
    <w:rsid w:val="000D44D4"/>
    <w:rsid w:val="000D53CF"/>
    <w:rsid w:val="000D5771"/>
    <w:rsid w:val="000D5893"/>
    <w:rsid w:val="000D7252"/>
    <w:rsid w:val="000D7A72"/>
    <w:rsid w:val="000E27C9"/>
    <w:rsid w:val="000E2E4F"/>
    <w:rsid w:val="000E2F00"/>
    <w:rsid w:val="000E3E10"/>
    <w:rsid w:val="000E5ABF"/>
    <w:rsid w:val="000E6B01"/>
    <w:rsid w:val="000E7CC2"/>
    <w:rsid w:val="000F0BBD"/>
    <w:rsid w:val="000F10F8"/>
    <w:rsid w:val="000F1DE1"/>
    <w:rsid w:val="000F2AE1"/>
    <w:rsid w:val="000F39EF"/>
    <w:rsid w:val="000F5C0F"/>
    <w:rsid w:val="00100355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499A"/>
    <w:rsid w:val="00125838"/>
    <w:rsid w:val="00125C6A"/>
    <w:rsid w:val="001262A5"/>
    <w:rsid w:val="00126E63"/>
    <w:rsid w:val="00127A78"/>
    <w:rsid w:val="00127F42"/>
    <w:rsid w:val="001317CF"/>
    <w:rsid w:val="00132082"/>
    <w:rsid w:val="00134C8C"/>
    <w:rsid w:val="00136F1C"/>
    <w:rsid w:val="001374E5"/>
    <w:rsid w:val="001412DC"/>
    <w:rsid w:val="0014334C"/>
    <w:rsid w:val="00143689"/>
    <w:rsid w:val="00144F94"/>
    <w:rsid w:val="001453D6"/>
    <w:rsid w:val="001458FE"/>
    <w:rsid w:val="001471AF"/>
    <w:rsid w:val="001504F4"/>
    <w:rsid w:val="00150EF3"/>
    <w:rsid w:val="00151D12"/>
    <w:rsid w:val="0015229D"/>
    <w:rsid w:val="001560D3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74C4A"/>
    <w:rsid w:val="00181DF1"/>
    <w:rsid w:val="001834EB"/>
    <w:rsid w:val="001850EC"/>
    <w:rsid w:val="00185966"/>
    <w:rsid w:val="00192B35"/>
    <w:rsid w:val="00192C77"/>
    <w:rsid w:val="00192DAD"/>
    <w:rsid w:val="00192F75"/>
    <w:rsid w:val="00193C55"/>
    <w:rsid w:val="00193F19"/>
    <w:rsid w:val="00194C03"/>
    <w:rsid w:val="001A2449"/>
    <w:rsid w:val="001A3E0D"/>
    <w:rsid w:val="001A3E96"/>
    <w:rsid w:val="001A52DF"/>
    <w:rsid w:val="001A6181"/>
    <w:rsid w:val="001A7017"/>
    <w:rsid w:val="001A73CD"/>
    <w:rsid w:val="001A76F9"/>
    <w:rsid w:val="001B46A1"/>
    <w:rsid w:val="001B59E3"/>
    <w:rsid w:val="001C0EFC"/>
    <w:rsid w:val="001C303E"/>
    <w:rsid w:val="001C51E2"/>
    <w:rsid w:val="001C5A39"/>
    <w:rsid w:val="001C7324"/>
    <w:rsid w:val="001D0114"/>
    <w:rsid w:val="001D0E41"/>
    <w:rsid w:val="001D153D"/>
    <w:rsid w:val="001D19F1"/>
    <w:rsid w:val="001D240E"/>
    <w:rsid w:val="001D38B9"/>
    <w:rsid w:val="001D3F96"/>
    <w:rsid w:val="001D4CE8"/>
    <w:rsid w:val="001D7259"/>
    <w:rsid w:val="001E0D38"/>
    <w:rsid w:val="001E2A2E"/>
    <w:rsid w:val="001E42B9"/>
    <w:rsid w:val="001E53AB"/>
    <w:rsid w:val="001E5654"/>
    <w:rsid w:val="001E67B3"/>
    <w:rsid w:val="001E6902"/>
    <w:rsid w:val="001F1C35"/>
    <w:rsid w:val="001F20B8"/>
    <w:rsid w:val="001F7B8B"/>
    <w:rsid w:val="0020092D"/>
    <w:rsid w:val="002020DB"/>
    <w:rsid w:val="00202A01"/>
    <w:rsid w:val="0020435A"/>
    <w:rsid w:val="00206047"/>
    <w:rsid w:val="0020636A"/>
    <w:rsid w:val="002073BD"/>
    <w:rsid w:val="00207B90"/>
    <w:rsid w:val="00210158"/>
    <w:rsid w:val="00210584"/>
    <w:rsid w:val="0021155E"/>
    <w:rsid w:val="00217149"/>
    <w:rsid w:val="0022389A"/>
    <w:rsid w:val="00223F01"/>
    <w:rsid w:val="00224E88"/>
    <w:rsid w:val="00230DD3"/>
    <w:rsid w:val="00231196"/>
    <w:rsid w:val="00233A2C"/>
    <w:rsid w:val="00233EF5"/>
    <w:rsid w:val="0023474C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2C11"/>
    <w:rsid w:val="00273F6C"/>
    <w:rsid w:val="0027468B"/>
    <w:rsid w:val="00276756"/>
    <w:rsid w:val="00281907"/>
    <w:rsid w:val="00282655"/>
    <w:rsid w:val="00282DAE"/>
    <w:rsid w:val="00284792"/>
    <w:rsid w:val="002854AD"/>
    <w:rsid w:val="00285A74"/>
    <w:rsid w:val="00287105"/>
    <w:rsid w:val="00287452"/>
    <w:rsid w:val="002903A7"/>
    <w:rsid w:val="00290C36"/>
    <w:rsid w:val="00290CC2"/>
    <w:rsid w:val="00291602"/>
    <w:rsid w:val="00293854"/>
    <w:rsid w:val="0029392F"/>
    <w:rsid w:val="00293D0A"/>
    <w:rsid w:val="00293E06"/>
    <w:rsid w:val="0029425C"/>
    <w:rsid w:val="002953B0"/>
    <w:rsid w:val="00296F33"/>
    <w:rsid w:val="00297583"/>
    <w:rsid w:val="002A2034"/>
    <w:rsid w:val="002A3232"/>
    <w:rsid w:val="002A3622"/>
    <w:rsid w:val="002A41A8"/>
    <w:rsid w:val="002A4D4A"/>
    <w:rsid w:val="002A5A93"/>
    <w:rsid w:val="002B0FB4"/>
    <w:rsid w:val="002B12E6"/>
    <w:rsid w:val="002B1329"/>
    <w:rsid w:val="002B63E5"/>
    <w:rsid w:val="002B7295"/>
    <w:rsid w:val="002B7C26"/>
    <w:rsid w:val="002B7F03"/>
    <w:rsid w:val="002C0B56"/>
    <w:rsid w:val="002C0B93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7F7"/>
    <w:rsid w:val="002D2C39"/>
    <w:rsid w:val="002D390F"/>
    <w:rsid w:val="002D4CBE"/>
    <w:rsid w:val="002D4D2D"/>
    <w:rsid w:val="002D513D"/>
    <w:rsid w:val="002D61E1"/>
    <w:rsid w:val="002D7409"/>
    <w:rsid w:val="002E047D"/>
    <w:rsid w:val="002E1F61"/>
    <w:rsid w:val="002E2D66"/>
    <w:rsid w:val="002E33A2"/>
    <w:rsid w:val="002E3609"/>
    <w:rsid w:val="002E384A"/>
    <w:rsid w:val="002E5382"/>
    <w:rsid w:val="002E5A2E"/>
    <w:rsid w:val="002E5E3C"/>
    <w:rsid w:val="002E7B7C"/>
    <w:rsid w:val="002F07F4"/>
    <w:rsid w:val="002F2E6A"/>
    <w:rsid w:val="002F323D"/>
    <w:rsid w:val="002F605D"/>
    <w:rsid w:val="002F68CC"/>
    <w:rsid w:val="00300EF7"/>
    <w:rsid w:val="0030187D"/>
    <w:rsid w:val="00301A08"/>
    <w:rsid w:val="003029E5"/>
    <w:rsid w:val="0030437B"/>
    <w:rsid w:val="00305113"/>
    <w:rsid w:val="00305A57"/>
    <w:rsid w:val="00310511"/>
    <w:rsid w:val="00310654"/>
    <w:rsid w:val="00310AE1"/>
    <w:rsid w:val="00311E5C"/>
    <w:rsid w:val="003121F3"/>
    <w:rsid w:val="00313AD1"/>
    <w:rsid w:val="00315407"/>
    <w:rsid w:val="00315734"/>
    <w:rsid w:val="0031648A"/>
    <w:rsid w:val="0031755E"/>
    <w:rsid w:val="003210E2"/>
    <w:rsid w:val="00321C3D"/>
    <w:rsid w:val="00322481"/>
    <w:rsid w:val="00322567"/>
    <w:rsid w:val="00323798"/>
    <w:rsid w:val="00323A55"/>
    <w:rsid w:val="00324DE2"/>
    <w:rsid w:val="00325249"/>
    <w:rsid w:val="00325E98"/>
    <w:rsid w:val="003268D1"/>
    <w:rsid w:val="00326ABC"/>
    <w:rsid w:val="00326DCF"/>
    <w:rsid w:val="00327AF0"/>
    <w:rsid w:val="00327D9D"/>
    <w:rsid w:val="00330694"/>
    <w:rsid w:val="00330A9B"/>
    <w:rsid w:val="00331594"/>
    <w:rsid w:val="00331B49"/>
    <w:rsid w:val="00331F29"/>
    <w:rsid w:val="003331B5"/>
    <w:rsid w:val="00333A1D"/>
    <w:rsid w:val="0033460B"/>
    <w:rsid w:val="00334F92"/>
    <w:rsid w:val="0033752D"/>
    <w:rsid w:val="00341267"/>
    <w:rsid w:val="0034210D"/>
    <w:rsid w:val="0034291E"/>
    <w:rsid w:val="003456F8"/>
    <w:rsid w:val="003460A3"/>
    <w:rsid w:val="00346324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2818"/>
    <w:rsid w:val="00362B19"/>
    <w:rsid w:val="0036304D"/>
    <w:rsid w:val="003631B2"/>
    <w:rsid w:val="00363764"/>
    <w:rsid w:val="00363A22"/>
    <w:rsid w:val="00363BEB"/>
    <w:rsid w:val="0036462F"/>
    <w:rsid w:val="00364A2E"/>
    <w:rsid w:val="00367A4B"/>
    <w:rsid w:val="00372887"/>
    <w:rsid w:val="00373EDC"/>
    <w:rsid w:val="00374152"/>
    <w:rsid w:val="003743BC"/>
    <w:rsid w:val="00374404"/>
    <w:rsid w:val="00375297"/>
    <w:rsid w:val="00375A29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AD2"/>
    <w:rsid w:val="003920DB"/>
    <w:rsid w:val="003930FC"/>
    <w:rsid w:val="00393B9D"/>
    <w:rsid w:val="00394823"/>
    <w:rsid w:val="003955A0"/>
    <w:rsid w:val="003978DA"/>
    <w:rsid w:val="003A13B4"/>
    <w:rsid w:val="003A47A3"/>
    <w:rsid w:val="003A72AE"/>
    <w:rsid w:val="003A7751"/>
    <w:rsid w:val="003B1262"/>
    <w:rsid w:val="003B4A8D"/>
    <w:rsid w:val="003B5ADF"/>
    <w:rsid w:val="003B5D7A"/>
    <w:rsid w:val="003B72C4"/>
    <w:rsid w:val="003B78B5"/>
    <w:rsid w:val="003C1D40"/>
    <w:rsid w:val="003C276B"/>
    <w:rsid w:val="003C3908"/>
    <w:rsid w:val="003C3A13"/>
    <w:rsid w:val="003C48B6"/>
    <w:rsid w:val="003C7C89"/>
    <w:rsid w:val="003D1E35"/>
    <w:rsid w:val="003D30B7"/>
    <w:rsid w:val="003D4318"/>
    <w:rsid w:val="003D4515"/>
    <w:rsid w:val="003D4D70"/>
    <w:rsid w:val="003D542E"/>
    <w:rsid w:val="003D5832"/>
    <w:rsid w:val="003D6200"/>
    <w:rsid w:val="003D66C8"/>
    <w:rsid w:val="003D6B2B"/>
    <w:rsid w:val="003D79C2"/>
    <w:rsid w:val="003D79DD"/>
    <w:rsid w:val="003D7D5D"/>
    <w:rsid w:val="003E0375"/>
    <w:rsid w:val="003E2B21"/>
    <w:rsid w:val="003E3539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10B6F"/>
    <w:rsid w:val="00410D6A"/>
    <w:rsid w:val="00412253"/>
    <w:rsid w:val="00413ABB"/>
    <w:rsid w:val="00415770"/>
    <w:rsid w:val="00415FC6"/>
    <w:rsid w:val="00416528"/>
    <w:rsid w:val="004179EB"/>
    <w:rsid w:val="00417D4C"/>
    <w:rsid w:val="00420C3A"/>
    <w:rsid w:val="00421292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3189"/>
    <w:rsid w:val="00454813"/>
    <w:rsid w:val="00456AC9"/>
    <w:rsid w:val="00461895"/>
    <w:rsid w:val="004619D4"/>
    <w:rsid w:val="00461BFF"/>
    <w:rsid w:val="00461DF8"/>
    <w:rsid w:val="0046257E"/>
    <w:rsid w:val="004642C0"/>
    <w:rsid w:val="00465E23"/>
    <w:rsid w:val="00466689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5168"/>
    <w:rsid w:val="004851ED"/>
    <w:rsid w:val="0048588A"/>
    <w:rsid w:val="004859D0"/>
    <w:rsid w:val="00490397"/>
    <w:rsid w:val="00490692"/>
    <w:rsid w:val="00492663"/>
    <w:rsid w:val="00494894"/>
    <w:rsid w:val="004952D7"/>
    <w:rsid w:val="00495F6A"/>
    <w:rsid w:val="00496108"/>
    <w:rsid w:val="00496192"/>
    <w:rsid w:val="00496EAF"/>
    <w:rsid w:val="00497373"/>
    <w:rsid w:val="004A0830"/>
    <w:rsid w:val="004A0E05"/>
    <w:rsid w:val="004A11C7"/>
    <w:rsid w:val="004A18D7"/>
    <w:rsid w:val="004A1B26"/>
    <w:rsid w:val="004A4A80"/>
    <w:rsid w:val="004A5489"/>
    <w:rsid w:val="004B0697"/>
    <w:rsid w:val="004B0720"/>
    <w:rsid w:val="004B6616"/>
    <w:rsid w:val="004B7AD5"/>
    <w:rsid w:val="004C0F3F"/>
    <w:rsid w:val="004C1191"/>
    <w:rsid w:val="004C17CB"/>
    <w:rsid w:val="004C420E"/>
    <w:rsid w:val="004C5608"/>
    <w:rsid w:val="004C73A9"/>
    <w:rsid w:val="004C7929"/>
    <w:rsid w:val="004D0248"/>
    <w:rsid w:val="004D07F7"/>
    <w:rsid w:val="004D0B47"/>
    <w:rsid w:val="004D0BDF"/>
    <w:rsid w:val="004D2424"/>
    <w:rsid w:val="004D3A0B"/>
    <w:rsid w:val="004D469E"/>
    <w:rsid w:val="004D4B67"/>
    <w:rsid w:val="004D5182"/>
    <w:rsid w:val="004E1297"/>
    <w:rsid w:val="004E2264"/>
    <w:rsid w:val="004E2A6E"/>
    <w:rsid w:val="004E3405"/>
    <w:rsid w:val="004E3A57"/>
    <w:rsid w:val="004E422D"/>
    <w:rsid w:val="004E4BBD"/>
    <w:rsid w:val="004E5018"/>
    <w:rsid w:val="004E5200"/>
    <w:rsid w:val="004E5EFE"/>
    <w:rsid w:val="004E6B64"/>
    <w:rsid w:val="004F064A"/>
    <w:rsid w:val="004F0FD3"/>
    <w:rsid w:val="004F333B"/>
    <w:rsid w:val="004F33C5"/>
    <w:rsid w:val="004F3FEB"/>
    <w:rsid w:val="004F4181"/>
    <w:rsid w:val="004F4805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16625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0EC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1FC3"/>
    <w:rsid w:val="00542475"/>
    <w:rsid w:val="005440CF"/>
    <w:rsid w:val="00546397"/>
    <w:rsid w:val="00550C9C"/>
    <w:rsid w:val="00551444"/>
    <w:rsid w:val="005516A8"/>
    <w:rsid w:val="005533C4"/>
    <w:rsid w:val="00553AFF"/>
    <w:rsid w:val="00557C14"/>
    <w:rsid w:val="0056055F"/>
    <w:rsid w:val="00560786"/>
    <w:rsid w:val="00562598"/>
    <w:rsid w:val="0056268F"/>
    <w:rsid w:val="00565AC5"/>
    <w:rsid w:val="00565C3C"/>
    <w:rsid w:val="00566974"/>
    <w:rsid w:val="005673CC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4471"/>
    <w:rsid w:val="00586657"/>
    <w:rsid w:val="00586FDE"/>
    <w:rsid w:val="00587B6A"/>
    <w:rsid w:val="00587C9B"/>
    <w:rsid w:val="00587F5D"/>
    <w:rsid w:val="00590E5A"/>
    <w:rsid w:val="005940D1"/>
    <w:rsid w:val="00594E34"/>
    <w:rsid w:val="00596B3D"/>
    <w:rsid w:val="005A00F1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B5A57"/>
    <w:rsid w:val="005B6DF8"/>
    <w:rsid w:val="005B7915"/>
    <w:rsid w:val="005C0524"/>
    <w:rsid w:val="005C087B"/>
    <w:rsid w:val="005C0C5C"/>
    <w:rsid w:val="005C2A99"/>
    <w:rsid w:val="005C5968"/>
    <w:rsid w:val="005C7707"/>
    <w:rsid w:val="005D06A8"/>
    <w:rsid w:val="005D0BFE"/>
    <w:rsid w:val="005D133C"/>
    <w:rsid w:val="005D14A0"/>
    <w:rsid w:val="005D2F33"/>
    <w:rsid w:val="005D33D4"/>
    <w:rsid w:val="005D5CF2"/>
    <w:rsid w:val="005D7FCA"/>
    <w:rsid w:val="005E1232"/>
    <w:rsid w:val="005E3287"/>
    <w:rsid w:val="005E37DA"/>
    <w:rsid w:val="005E40BB"/>
    <w:rsid w:val="005E485F"/>
    <w:rsid w:val="005F0FD7"/>
    <w:rsid w:val="005F2D68"/>
    <w:rsid w:val="005F3758"/>
    <w:rsid w:val="005F5231"/>
    <w:rsid w:val="005F71F9"/>
    <w:rsid w:val="006002AA"/>
    <w:rsid w:val="0060413C"/>
    <w:rsid w:val="006051D7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554E"/>
    <w:rsid w:val="00630057"/>
    <w:rsid w:val="00630230"/>
    <w:rsid w:val="0063057C"/>
    <w:rsid w:val="00631233"/>
    <w:rsid w:val="0063197E"/>
    <w:rsid w:val="00632DC1"/>
    <w:rsid w:val="00635809"/>
    <w:rsid w:val="00636EB6"/>
    <w:rsid w:val="00637A6B"/>
    <w:rsid w:val="00640287"/>
    <w:rsid w:val="00640B8B"/>
    <w:rsid w:val="00640FE7"/>
    <w:rsid w:val="00642D94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000"/>
    <w:rsid w:val="006535F8"/>
    <w:rsid w:val="00653B45"/>
    <w:rsid w:val="00657376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D2B"/>
    <w:rsid w:val="00680E3F"/>
    <w:rsid w:val="00682087"/>
    <w:rsid w:val="006821E3"/>
    <w:rsid w:val="00682E8F"/>
    <w:rsid w:val="00684E36"/>
    <w:rsid w:val="00685DB6"/>
    <w:rsid w:val="0069299B"/>
    <w:rsid w:val="00693137"/>
    <w:rsid w:val="00693518"/>
    <w:rsid w:val="00694C51"/>
    <w:rsid w:val="006955E7"/>
    <w:rsid w:val="0069580F"/>
    <w:rsid w:val="00695FCF"/>
    <w:rsid w:val="00696965"/>
    <w:rsid w:val="00696DDA"/>
    <w:rsid w:val="006970D5"/>
    <w:rsid w:val="006A013E"/>
    <w:rsid w:val="006A135C"/>
    <w:rsid w:val="006A1639"/>
    <w:rsid w:val="006A3CCC"/>
    <w:rsid w:val="006A4CFB"/>
    <w:rsid w:val="006A6DFF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3B4B"/>
    <w:rsid w:val="006C41FF"/>
    <w:rsid w:val="006C4E28"/>
    <w:rsid w:val="006C4E62"/>
    <w:rsid w:val="006C5B37"/>
    <w:rsid w:val="006D1496"/>
    <w:rsid w:val="006D30E8"/>
    <w:rsid w:val="006D502F"/>
    <w:rsid w:val="006D5067"/>
    <w:rsid w:val="006D5713"/>
    <w:rsid w:val="006E14EC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707F"/>
    <w:rsid w:val="00700A44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3CA3"/>
    <w:rsid w:val="0071439B"/>
    <w:rsid w:val="00720CB2"/>
    <w:rsid w:val="0072122E"/>
    <w:rsid w:val="00722894"/>
    <w:rsid w:val="00723B85"/>
    <w:rsid w:val="00725232"/>
    <w:rsid w:val="007254CF"/>
    <w:rsid w:val="007257B8"/>
    <w:rsid w:val="007265A4"/>
    <w:rsid w:val="00727A83"/>
    <w:rsid w:val="00730A03"/>
    <w:rsid w:val="0073174A"/>
    <w:rsid w:val="00731D2D"/>
    <w:rsid w:val="0073237B"/>
    <w:rsid w:val="007333BE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89A"/>
    <w:rsid w:val="00763FB0"/>
    <w:rsid w:val="007644E5"/>
    <w:rsid w:val="00765150"/>
    <w:rsid w:val="00766121"/>
    <w:rsid w:val="007677C6"/>
    <w:rsid w:val="00770D2D"/>
    <w:rsid w:val="00770D5D"/>
    <w:rsid w:val="00772C0B"/>
    <w:rsid w:val="007735D7"/>
    <w:rsid w:val="007738D0"/>
    <w:rsid w:val="00773EC0"/>
    <w:rsid w:val="00774D2D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3A0B"/>
    <w:rsid w:val="00783E8C"/>
    <w:rsid w:val="00784DD0"/>
    <w:rsid w:val="00785290"/>
    <w:rsid w:val="007862F7"/>
    <w:rsid w:val="0078737D"/>
    <w:rsid w:val="00790464"/>
    <w:rsid w:val="00790D36"/>
    <w:rsid w:val="007912F9"/>
    <w:rsid w:val="00791D81"/>
    <w:rsid w:val="007928E3"/>
    <w:rsid w:val="007939B6"/>
    <w:rsid w:val="00793D62"/>
    <w:rsid w:val="0079427C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5420"/>
    <w:rsid w:val="007C582F"/>
    <w:rsid w:val="007C5B6E"/>
    <w:rsid w:val="007C6E19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242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48C"/>
    <w:rsid w:val="008025DC"/>
    <w:rsid w:val="00802652"/>
    <w:rsid w:val="008027A4"/>
    <w:rsid w:val="00803C62"/>
    <w:rsid w:val="008049AB"/>
    <w:rsid w:val="00804D45"/>
    <w:rsid w:val="00806EC8"/>
    <w:rsid w:val="00814CE9"/>
    <w:rsid w:val="00815161"/>
    <w:rsid w:val="00815D21"/>
    <w:rsid w:val="00815D37"/>
    <w:rsid w:val="00815D73"/>
    <w:rsid w:val="00816F1F"/>
    <w:rsid w:val="008176D9"/>
    <w:rsid w:val="00820BE1"/>
    <w:rsid w:val="00822919"/>
    <w:rsid w:val="00822D6D"/>
    <w:rsid w:val="00825BCB"/>
    <w:rsid w:val="00825CE6"/>
    <w:rsid w:val="0082609D"/>
    <w:rsid w:val="008270A6"/>
    <w:rsid w:val="00827BB7"/>
    <w:rsid w:val="008307CF"/>
    <w:rsid w:val="008310C2"/>
    <w:rsid w:val="00831585"/>
    <w:rsid w:val="00831988"/>
    <w:rsid w:val="008319E1"/>
    <w:rsid w:val="00832233"/>
    <w:rsid w:val="00832428"/>
    <w:rsid w:val="0083285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0D3"/>
    <w:rsid w:val="00861853"/>
    <w:rsid w:val="00862746"/>
    <w:rsid w:val="00862D53"/>
    <w:rsid w:val="008638C5"/>
    <w:rsid w:val="00864335"/>
    <w:rsid w:val="00867AEB"/>
    <w:rsid w:val="00870444"/>
    <w:rsid w:val="00871FE1"/>
    <w:rsid w:val="0087570C"/>
    <w:rsid w:val="00876C2C"/>
    <w:rsid w:val="00876D26"/>
    <w:rsid w:val="0087714B"/>
    <w:rsid w:val="008775A4"/>
    <w:rsid w:val="008809B6"/>
    <w:rsid w:val="00881122"/>
    <w:rsid w:val="00881AF4"/>
    <w:rsid w:val="00882B98"/>
    <w:rsid w:val="008834FE"/>
    <w:rsid w:val="00883BC1"/>
    <w:rsid w:val="00884AE7"/>
    <w:rsid w:val="00884CBF"/>
    <w:rsid w:val="00884F48"/>
    <w:rsid w:val="00886263"/>
    <w:rsid w:val="00886A4D"/>
    <w:rsid w:val="00890070"/>
    <w:rsid w:val="00890405"/>
    <w:rsid w:val="008907F0"/>
    <w:rsid w:val="008920DC"/>
    <w:rsid w:val="008927EE"/>
    <w:rsid w:val="00892826"/>
    <w:rsid w:val="008956D1"/>
    <w:rsid w:val="008957EF"/>
    <w:rsid w:val="00895BB6"/>
    <w:rsid w:val="0089700B"/>
    <w:rsid w:val="008972B2"/>
    <w:rsid w:val="0089739E"/>
    <w:rsid w:val="008976A1"/>
    <w:rsid w:val="00897CA1"/>
    <w:rsid w:val="008A0E25"/>
    <w:rsid w:val="008A1766"/>
    <w:rsid w:val="008A1D53"/>
    <w:rsid w:val="008A4FAC"/>
    <w:rsid w:val="008A7A9B"/>
    <w:rsid w:val="008A7CDD"/>
    <w:rsid w:val="008B1750"/>
    <w:rsid w:val="008B2BA7"/>
    <w:rsid w:val="008B3494"/>
    <w:rsid w:val="008B4A35"/>
    <w:rsid w:val="008B5FC3"/>
    <w:rsid w:val="008B60AF"/>
    <w:rsid w:val="008B7022"/>
    <w:rsid w:val="008B73B4"/>
    <w:rsid w:val="008C0A82"/>
    <w:rsid w:val="008C4980"/>
    <w:rsid w:val="008C5370"/>
    <w:rsid w:val="008C5798"/>
    <w:rsid w:val="008C6BBF"/>
    <w:rsid w:val="008D2BDD"/>
    <w:rsid w:val="008D33F8"/>
    <w:rsid w:val="008D4BC6"/>
    <w:rsid w:val="008E190A"/>
    <w:rsid w:val="008E1FC7"/>
    <w:rsid w:val="008E2DB0"/>
    <w:rsid w:val="008E4AD4"/>
    <w:rsid w:val="008E70BF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1902"/>
    <w:rsid w:val="00912E5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4122"/>
    <w:rsid w:val="009241E0"/>
    <w:rsid w:val="00924D7D"/>
    <w:rsid w:val="00927747"/>
    <w:rsid w:val="00927D6F"/>
    <w:rsid w:val="009307FB"/>
    <w:rsid w:val="00930CCE"/>
    <w:rsid w:val="00931A17"/>
    <w:rsid w:val="009330BF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4E22"/>
    <w:rsid w:val="00947084"/>
    <w:rsid w:val="00947FBD"/>
    <w:rsid w:val="00950F90"/>
    <w:rsid w:val="00953E98"/>
    <w:rsid w:val="00954739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01EE"/>
    <w:rsid w:val="0097162D"/>
    <w:rsid w:val="009721C4"/>
    <w:rsid w:val="009722DB"/>
    <w:rsid w:val="0097272E"/>
    <w:rsid w:val="00973B94"/>
    <w:rsid w:val="00976F80"/>
    <w:rsid w:val="00977B89"/>
    <w:rsid w:val="009805F2"/>
    <w:rsid w:val="0098409D"/>
    <w:rsid w:val="00984C33"/>
    <w:rsid w:val="00984E46"/>
    <w:rsid w:val="00986052"/>
    <w:rsid w:val="00987C74"/>
    <w:rsid w:val="0099030D"/>
    <w:rsid w:val="00991B11"/>
    <w:rsid w:val="00991EDB"/>
    <w:rsid w:val="00994D71"/>
    <w:rsid w:val="00995B10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417"/>
    <w:rsid w:val="009B2E68"/>
    <w:rsid w:val="009B3995"/>
    <w:rsid w:val="009C17E6"/>
    <w:rsid w:val="009C1A22"/>
    <w:rsid w:val="009C2C3C"/>
    <w:rsid w:val="009C4156"/>
    <w:rsid w:val="009C60D3"/>
    <w:rsid w:val="009C656C"/>
    <w:rsid w:val="009C6AFA"/>
    <w:rsid w:val="009C7037"/>
    <w:rsid w:val="009C7943"/>
    <w:rsid w:val="009C7C62"/>
    <w:rsid w:val="009D0D30"/>
    <w:rsid w:val="009D1A5C"/>
    <w:rsid w:val="009D2828"/>
    <w:rsid w:val="009D2EAC"/>
    <w:rsid w:val="009D3894"/>
    <w:rsid w:val="009D3E7A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9F69EB"/>
    <w:rsid w:val="00A004B0"/>
    <w:rsid w:val="00A034C8"/>
    <w:rsid w:val="00A03C51"/>
    <w:rsid w:val="00A04007"/>
    <w:rsid w:val="00A04E54"/>
    <w:rsid w:val="00A061EB"/>
    <w:rsid w:val="00A0698F"/>
    <w:rsid w:val="00A113DF"/>
    <w:rsid w:val="00A12410"/>
    <w:rsid w:val="00A12E53"/>
    <w:rsid w:val="00A13DFC"/>
    <w:rsid w:val="00A16B16"/>
    <w:rsid w:val="00A17979"/>
    <w:rsid w:val="00A223B1"/>
    <w:rsid w:val="00A23E03"/>
    <w:rsid w:val="00A25176"/>
    <w:rsid w:val="00A269CF"/>
    <w:rsid w:val="00A31C2C"/>
    <w:rsid w:val="00A356B3"/>
    <w:rsid w:val="00A35813"/>
    <w:rsid w:val="00A364A1"/>
    <w:rsid w:val="00A36649"/>
    <w:rsid w:val="00A36D32"/>
    <w:rsid w:val="00A36E5F"/>
    <w:rsid w:val="00A401BC"/>
    <w:rsid w:val="00A40F25"/>
    <w:rsid w:val="00A423A7"/>
    <w:rsid w:val="00A430EB"/>
    <w:rsid w:val="00A445F6"/>
    <w:rsid w:val="00A44F7D"/>
    <w:rsid w:val="00A53625"/>
    <w:rsid w:val="00A54C2F"/>
    <w:rsid w:val="00A60FC8"/>
    <w:rsid w:val="00A61A79"/>
    <w:rsid w:val="00A63606"/>
    <w:rsid w:val="00A64AD2"/>
    <w:rsid w:val="00A64D76"/>
    <w:rsid w:val="00A650B3"/>
    <w:rsid w:val="00A65B9D"/>
    <w:rsid w:val="00A66062"/>
    <w:rsid w:val="00A66317"/>
    <w:rsid w:val="00A66328"/>
    <w:rsid w:val="00A66E9E"/>
    <w:rsid w:val="00A67746"/>
    <w:rsid w:val="00A710F1"/>
    <w:rsid w:val="00A71D3F"/>
    <w:rsid w:val="00A71FF1"/>
    <w:rsid w:val="00A7213D"/>
    <w:rsid w:val="00A76386"/>
    <w:rsid w:val="00A7781C"/>
    <w:rsid w:val="00A84F3D"/>
    <w:rsid w:val="00A86DA7"/>
    <w:rsid w:val="00A90AD0"/>
    <w:rsid w:val="00A91DC0"/>
    <w:rsid w:val="00A91E49"/>
    <w:rsid w:val="00A9205A"/>
    <w:rsid w:val="00A93331"/>
    <w:rsid w:val="00A93EBE"/>
    <w:rsid w:val="00A953B4"/>
    <w:rsid w:val="00A97C82"/>
    <w:rsid w:val="00AA0FE4"/>
    <w:rsid w:val="00AA10CE"/>
    <w:rsid w:val="00AA13A4"/>
    <w:rsid w:val="00AA151D"/>
    <w:rsid w:val="00AA2A57"/>
    <w:rsid w:val="00AA2C9B"/>
    <w:rsid w:val="00AA5738"/>
    <w:rsid w:val="00AA5FE0"/>
    <w:rsid w:val="00AA6191"/>
    <w:rsid w:val="00AA65EF"/>
    <w:rsid w:val="00AA787F"/>
    <w:rsid w:val="00AA7EC2"/>
    <w:rsid w:val="00AB0FBF"/>
    <w:rsid w:val="00AB3272"/>
    <w:rsid w:val="00AB5A9E"/>
    <w:rsid w:val="00AB5BA1"/>
    <w:rsid w:val="00AB6942"/>
    <w:rsid w:val="00AB6E32"/>
    <w:rsid w:val="00AB7331"/>
    <w:rsid w:val="00AB7D4A"/>
    <w:rsid w:val="00AC056B"/>
    <w:rsid w:val="00AC0C82"/>
    <w:rsid w:val="00AC13E7"/>
    <w:rsid w:val="00AC18D7"/>
    <w:rsid w:val="00AC2611"/>
    <w:rsid w:val="00AC2E6A"/>
    <w:rsid w:val="00AC3E12"/>
    <w:rsid w:val="00AC44EB"/>
    <w:rsid w:val="00AC6D48"/>
    <w:rsid w:val="00AD02EC"/>
    <w:rsid w:val="00AD05A6"/>
    <w:rsid w:val="00AD3292"/>
    <w:rsid w:val="00AD388F"/>
    <w:rsid w:val="00AD436F"/>
    <w:rsid w:val="00AD5849"/>
    <w:rsid w:val="00AD7473"/>
    <w:rsid w:val="00AE0F77"/>
    <w:rsid w:val="00AE1EFF"/>
    <w:rsid w:val="00AE2657"/>
    <w:rsid w:val="00AE2936"/>
    <w:rsid w:val="00AE4C5E"/>
    <w:rsid w:val="00AE52B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136"/>
    <w:rsid w:val="00AF751E"/>
    <w:rsid w:val="00AF7F4A"/>
    <w:rsid w:val="00B00632"/>
    <w:rsid w:val="00B01528"/>
    <w:rsid w:val="00B01A0B"/>
    <w:rsid w:val="00B03791"/>
    <w:rsid w:val="00B03F2D"/>
    <w:rsid w:val="00B047F1"/>
    <w:rsid w:val="00B051CC"/>
    <w:rsid w:val="00B05237"/>
    <w:rsid w:val="00B0532A"/>
    <w:rsid w:val="00B15F4C"/>
    <w:rsid w:val="00B17CC3"/>
    <w:rsid w:val="00B17FF8"/>
    <w:rsid w:val="00B20DA5"/>
    <w:rsid w:val="00B229C6"/>
    <w:rsid w:val="00B22D3D"/>
    <w:rsid w:val="00B235F7"/>
    <w:rsid w:val="00B242B8"/>
    <w:rsid w:val="00B24831"/>
    <w:rsid w:val="00B254D8"/>
    <w:rsid w:val="00B265A5"/>
    <w:rsid w:val="00B26735"/>
    <w:rsid w:val="00B30840"/>
    <w:rsid w:val="00B30A72"/>
    <w:rsid w:val="00B30CF7"/>
    <w:rsid w:val="00B30F3E"/>
    <w:rsid w:val="00B3280B"/>
    <w:rsid w:val="00B34570"/>
    <w:rsid w:val="00B34F7E"/>
    <w:rsid w:val="00B35085"/>
    <w:rsid w:val="00B365C9"/>
    <w:rsid w:val="00B3783E"/>
    <w:rsid w:val="00B41961"/>
    <w:rsid w:val="00B43227"/>
    <w:rsid w:val="00B43BAA"/>
    <w:rsid w:val="00B44A3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3F07"/>
    <w:rsid w:val="00B64FD7"/>
    <w:rsid w:val="00B65FD9"/>
    <w:rsid w:val="00B6605D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1FBF"/>
    <w:rsid w:val="00B82437"/>
    <w:rsid w:val="00B829A8"/>
    <w:rsid w:val="00B829B3"/>
    <w:rsid w:val="00B83749"/>
    <w:rsid w:val="00B84AD1"/>
    <w:rsid w:val="00B860BD"/>
    <w:rsid w:val="00B860F7"/>
    <w:rsid w:val="00B86579"/>
    <w:rsid w:val="00B87617"/>
    <w:rsid w:val="00B912EC"/>
    <w:rsid w:val="00B9203C"/>
    <w:rsid w:val="00B92684"/>
    <w:rsid w:val="00B93167"/>
    <w:rsid w:val="00B945EB"/>
    <w:rsid w:val="00B95065"/>
    <w:rsid w:val="00B957B7"/>
    <w:rsid w:val="00B96704"/>
    <w:rsid w:val="00B96E93"/>
    <w:rsid w:val="00B971AE"/>
    <w:rsid w:val="00B97AE8"/>
    <w:rsid w:val="00BA2289"/>
    <w:rsid w:val="00BA3745"/>
    <w:rsid w:val="00BA5EE2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2897"/>
    <w:rsid w:val="00BD2C2E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3F2C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24B1"/>
    <w:rsid w:val="00C032E9"/>
    <w:rsid w:val="00C03950"/>
    <w:rsid w:val="00C04E50"/>
    <w:rsid w:val="00C053AA"/>
    <w:rsid w:val="00C05572"/>
    <w:rsid w:val="00C055DB"/>
    <w:rsid w:val="00C10CA2"/>
    <w:rsid w:val="00C10E6A"/>
    <w:rsid w:val="00C1154C"/>
    <w:rsid w:val="00C11CA8"/>
    <w:rsid w:val="00C1279D"/>
    <w:rsid w:val="00C14D1B"/>
    <w:rsid w:val="00C16581"/>
    <w:rsid w:val="00C17B97"/>
    <w:rsid w:val="00C20338"/>
    <w:rsid w:val="00C2114D"/>
    <w:rsid w:val="00C21F39"/>
    <w:rsid w:val="00C24B34"/>
    <w:rsid w:val="00C24F8E"/>
    <w:rsid w:val="00C276B1"/>
    <w:rsid w:val="00C31091"/>
    <w:rsid w:val="00C32280"/>
    <w:rsid w:val="00C33673"/>
    <w:rsid w:val="00C342E0"/>
    <w:rsid w:val="00C343BD"/>
    <w:rsid w:val="00C3561A"/>
    <w:rsid w:val="00C36730"/>
    <w:rsid w:val="00C3716E"/>
    <w:rsid w:val="00C37310"/>
    <w:rsid w:val="00C374D4"/>
    <w:rsid w:val="00C4141D"/>
    <w:rsid w:val="00C45AAA"/>
    <w:rsid w:val="00C46256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687"/>
    <w:rsid w:val="00C56F97"/>
    <w:rsid w:val="00C577A9"/>
    <w:rsid w:val="00C606C0"/>
    <w:rsid w:val="00C60D99"/>
    <w:rsid w:val="00C65488"/>
    <w:rsid w:val="00C674B4"/>
    <w:rsid w:val="00C6787B"/>
    <w:rsid w:val="00C717FC"/>
    <w:rsid w:val="00C72455"/>
    <w:rsid w:val="00C73546"/>
    <w:rsid w:val="00C74392"/>
    <w:rsid w:val="00C74422"/>
    <w:rsid w:val="00C7510B"/>
    <w:rsid w:val="00C75948"/>
    <w:rsid w:val="00C76D3F"/>
    <w:rsid w:val="00C77FF0"/>
    <w:rsid w:val="00C80BD3"/>
    <w:rsid w:val="00C8337E"/>
    <w:rsid w:val="00C83CDE"/>
    <w:rsid w:val="00C85EEF"/>
    <w:rsid w:val="00C85FD8"/>
    <w:rsid w:val="00C8624C"/>
    <w:rsid w:val="00C86ECE"/>
    <w:rsid w:val="00C918EF"/>
    <w:rsid w:val="00C9239C"/>
    <w:rsid w:val="00C92B2B"/>
    <w:rsid w:val="00C93F32"/>
    <w:rsid w:val="00C94775"/>
    <w:rsid w:val="00C947A9"/>
    <w:rsid w:val="00C94D3F"/>
    <w:rsid w:val="00C95D73"/>
    <w:rsid w:val="00C96A92"/>
    <w:rsid w:val="00C972C8"/>
    <w:rsid w:val="00C97A89"/>
    <w:rsid w:val="00CA492E"/>
    <w:rsid w:val="00CA4C09"/>
    <w:rsid w:val="00CA4FA9"/>
    <w:rsid w:val="00CA6716"/>
    <w:rsid w:val="00CA6DEF"/>
    <w:rsid w:val="00CA74CA"/>
    <w:rsid w:val="00CA7DE2"/>
    <w:rsid w:val="00CB09A1"/>
    <w:rsid w:val="00CB146D"/>
    <w:rsid w:val="00CB1998"/>
    <w:rsid w:val="00CB3EBB"/>
    <w:rsid w:val="00CB3F35"/>
    <w:rsid w:val="00CB4D1B"/>
    <w:rsid w:val="00CB79A7"/>
    <w:rsid w:val="00CC1780"/>
    <w:rsid w:val="00CC3536"/>
    <w:rsid w:val="00CC4744"/>
    <w:rsid w:val="00CC4A07"/>
    <w:rsid w:val="00CC4E9E"/>
    <w:rsid w:val="00CC4F1D"/>
    <w:rsid w:val="00CC6E1E"/>
    <w:rsid w:val="00CC7338"/>
    <w:rsid w:val="00CC7BDF"/>
    <w:rsid w:val="00CD1D37"/>
    <w:rsid w:val="00CD2317"/>
    <w:rsid w:val="00CD2B0E"/>
    <w:rsid w:val="00CD2FE6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61C"/>
    <w:rsid w:val="00CF6E6C"/>
    <w:rsid w:val="00CF77DC"/>
    <w:rsid w:val="00CF7D0F"/>
    <w:rsid w:val="00D0086F"/>
    <w:rsid w:val="00D01349"/>
    <w:rsid w:val="00D01B22"/>
    <w:rsid w:val="00D02682"/>
    <w:rsid w:val="00D03E15"/>
    <w:rsid w:val="00D04C48"/>
    <w:rsid w:val="00D05C60"/>
    <w:rsid w:val="00D069EF"/>
    <w:rsid w:val="00D06F63"/>
    <w:rsid w:val="00D07DF0"/>
    <w:rsid w:val="00D11ED8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477A"/>
    <w:rsid w:val="00D353A8"/>
    <w:rsid w:val="00D37BBE"/>
    <w:rsid w:val="00D40E17"/>
    <w:rsid w:val="00D4224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3E0D"/>
    <w:rsid w:val="00D651BC"/>
    <w:rsid w:val="00D66971"/>
    <w:rsid w:val="00D67E83"/>
    <w:rsid w:val="00D708B7"/>
    <w:rsid w:val="00D716D0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FB6"/>
    <w:rsid w:val="00D90217"/>
    <w:rsid w:val="00D9048E"/>
    <w:rsid w:val="00D91F7D"/>
    <w:rsid w:val="00D92A5F"/>
    <w:rsid w:val="00D95224"/>
    <w:rsid w:val="00D95989"/>
    <w:rsid w:val="00D96112"/>
    <w:rsid w:val="00D96184"/>
    <w:rsid w:val="00D96C89"/>
    <w:rsid w:val="00D97320"/>
    <w:rsid w:val="00DA1D51"/>
    <w:rsid w:val="00DA52E8"/>
    <w:rsid w:val="00DA6836"/>
    <w:rsid w:val="00DA6C57"/>
    <w:rsid w:val="00DB14C1"/>
    <w:rsid w:val="00DB4817"/>
    <w:rsid w:val="00DB4CF9"/>
    <w:rsid w:val="00DB79A6"/>
    <w:rsid w:val="00DC13A0"/>
    <w:rsid w:val="00DC2A0C"/>
    <w:rsid w:val="00DC54A4"/>
    <w:rsid w:val="00DD2C65"/>
    <w:rsid w:val="00DD38E1"/>
    <w:rsid w:val="00DD491D"/>
    <w:rsid w:val="00DD593A"/>
    <w:rsid w:val="00DD6A04"/>
    <w:rsid w:val="00DD6E3A"/>
    <w:rsid w:val="00DD710A"/>
    <w:rsid w:val="00DD7BB6"/>
    <w:rsid w:val="00DD7D1A"/>
    <w:rsid w:val="00DE1FE9"/>
    <w:rsid w:val="00DE23F2"/>
    <w:rsid w:val="00DE3558"/>
    <w:rsid w:val="00DE4B32"/>
    <w:rsid w:val="00DE5012"/>
    <w:rsid w:val="00DE591C"/>
    <w:rsid w:val="00DE68E0"/>
    <w:rsid w:val="00DE6AEA"/>
    <w:rsid w:val="00DF20F8"/>
    <w:rsid w:val="00DF262D"/>
    <w:rsid w:val="00DF274C"/>
    <w:rsid w:val="00DF2811"/>
    <w:rsid w:val="00DF2AF5"/>
    <w:rsid w:val="00DF3C21"/>
    <w:rsid w:val="00DF42DB"/>
    <w:rsid w:val="00DF6487"/>
    <w:rsid w:val="00DF6901"/>
    <w:rsid w:val="00DF6BC5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42A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7AA"/>
    <w:rsid w:val="00E33DBD"/>
    <w:rsid w:val="00E34AAD"/>
    <w:rsid w:val="00E34C91"/>
    <w:rsid w:val="00E356CB"/>
    <w:rsid w:val="00E364D8"/>
    <w:rsid w:val="00E36BE2"/>
    <w:rsid w:val="00E3755B"/>
    <w:rsid w:val="00E37C4E"/>
    <w:rsid w:val="00E37CC9"/>
    <w:rsid w:val="00E42270"/>
    <w:rsid w:val="00E43930"/>
    <w:rsid w:val="00E44E3C"/>
    <w:rsid w:val="00E45CD7"/>
    <w:rsid w:val="00E46DBD"/>
    <w:rsid w:val="00E4759B"/>
    <w:rsid w:val="00E50B8E"/>
    <w:rsid w:val="00E50FBC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674FB"/>
    <w:rsid w:val="00E70586"/>
    <w:rsid w:val="00E73406"/>
    <w:rsid w:val="00E75B91"/>
    <w:rsid w:val="00E7625C"/>
    <w:rsid w:val="00E76BC5"/>
    <w:rsid w:val="00E7781F"/>
    <w:rsid w:val="00E810FE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3C71"/>
    <w:rsid w:val="00EA3F81"/>
    <w:rsid w:val="00EA4C2F"/>
    <w:rsid w:val="00EA50DE"/>
    <w:rsid w:val="00EA5232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2DF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D28E0"/>
    <w:rsid w:val="00ED7EDF"/>
    <w:rsid w:val="00EE0DDE"/>
    <w:rsid w:val="00EE298B"/>
    <w:rsid w:val="00EE47A2"/>
    <w:rsid w:val="00EE5F31"/>
    <w:rsid w:val="00EE622A"/>
    <w:rsid w:val="00EE6DB9"/>
    <w:rsid w:val="00EF21E1"/>
    <w:rsid w:val="00EF414A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D85"/>
    <w:rsid w:val="00F16B41"/>
    <w:rsid w:val="00F171ED"/>
    <w:rsid w:val="00F17700"/>
    <w:rsid w:val="00F214DB"/>
    <w:rsid w:val="00F22502"/>
    <w:rsid w:val="00F23466"/>
    <w:rsid w:val="00F2429D"/>
    <w:rsid w:val="00F24571"/>
    <w:rsid w:val="00F245C8"/>
    <w:rsid w:val="00F275D7"/>
    <w:rsid w:val="00F27B66"/>
    <w:rsid w:val="00F306A2"/>
    <w:rsid w:val="00F320EE"/>
    <w:rsid w:val="00F32CFE"/>
    <w:rsid w:val="00F33B5B"/>
    <w:rsid w:val="00F35EFE"/>
    <w:rsid w:val="00F36DEA"/>
    <w:rsid w:val="00F400FA"/>
    <w:rsid w:val="00F4050E"/>
    <w:rsid w:val="00F4071A"/>
    <w:rsid w:val="00F416C6"/>
    <w:rsid w:val="00F4217C"/>
    <w:rsid w:val="00F43645"/>
    <w:rsid w:val="00F4406F"/>
    <w:rsid w:val="00F4618B"/>
    <w:rsid w:val="00F46D61"/>
    <w:rsid w:val="00F47905"/>
    <w:rsid w:val="00F5033A"/>
    <w:rsid w:val="00F5105D"/>
    <w:rsid w:val="00F520A4"/>
    <w:rsid w:val="00F557E9"/>
    <w:rsid w:val="00F57E33"/>
    <w:rsid w:val="00F61E47"/>
    <w:rsid w:val="00F61E7A"/>
    <w:rsid w:val="00F63B4D"/>
    <w:rsid w:val="00F63CF9"/>
    <w:rsid w:val="00F6436F"/>
    <w:rsid w:val="00F6596E"/>
    <w:rsid w:val="00F6679F"/>
    <w:rsid w:val="00F66E8E"/>
    <w:rsid w:val="00F67CAA"/>
    <w:rsid w:val="00F71183"/>
    <w:rsid w:val="00F71E30"/>
    <w:rsid w:val="00F71EC0"/>
    <w:rsid w:val="00F72F47"/>
    <w:rsid w:val="00F81CAF"/>
    <w:rsid w:val="00F81CCF"/>
    <w:rsid w:val="00F82346"/>
    <w:rsid w:val="00F82796"/>
    <w:rsid w:val="00F83A61"/>
    <w:rsid w:val="00F86243"/>
    <w:rsid w:val="00F8782A"/>
    <w:rsid w:val="00F87942"/>
    <w:rsid w:val="00F90CCE"/>
    <w:rsid w:val="00F9162E"/>
    <w:rsid w:val="00F929D1"/>
    <w:rsid w:val="00F948AD"/>
    <w:rsid w:val="00F96822"/>
    <w:rsid w:val="00F9748F"/>
    <w:rsid w:val="00F979A8"/>
    <w:rsid w:val="00F97E31"/>
    <w:rsid w:val="00FA028D"/>
    <w:rsid w:val="00FA078D"/>
    <w:rsid w:val="00FA135B"/>
    <w:rsid w:val="00FA1442"/>
    <w:rsid w:val="00FA1696"/>
    <w:rsid w:val="00FA1D06"/>
    <w:rsid w:val="00FA4086"/>
    <w:rsid w:val="00FA68F1"/>
    <w:rsid w:val="00FA6B98"/>
    <w:rsid w:val="00FA6CD2"/>
    <w:rsid w:val="00FB028A"/>
    <w:rsid w:val="00FB1226"/>
    <w:rsid w:val="00FB18B5"/>
    <w:rsid w:val="00FB1C7E"/>
    <w:rsid w:val="00FB3E48"/>
    <w:rsid w:val="00FB41F7"/>
    <w:rsid w:val="00FB4811"/>
    <w:rsid w:val="00FB5FD1"/>
    <w:rsid w:val="00FB6E64"/>
    <w:rsid w:val="00FB7FDA"/>
    <w:rsid w:val="00FC01D2"/>
    <w:rsid w:val="00FC094C"/>
    <w:rsid w:val="00FC1338"/>
    <w:rsid w:val="00FC183E"/>
    <w:rsid w:val="00FC283A"/>
    <w:rsid w:val="00FC3BAE"/>
    <w:rsid w:val="00FC4419"/>
    <w:rsid w:val="00FC4B06"/>
    <w:rsid w:val="00FC4E8E"/>
    <w:rsid w:val="00FC6102"/>
    <w:rsid w:val="00FC7004"/>
    <w:rsid w:val="00FC7166"/>
    <w:rsid w:val="00FC7D26"/>
    <w:rsid w:val="00FD06B6"/>
    <w:rsid w:val="00FD1399"/>
    <w:rsid w:val="00FD146A"/>
    <w:rsid w:val="00FD1594"/>
    <w:rsid w:val="00FD1B57"/>
    <w:rsid w:val="00FD1DDA"/>
    <w:rsid w:val="00FD45BD"/>
    <w:rsid w:val="00FD47E8"/>
    <w:rsid w:val="00FD4B4C"/>
    <w:rsid w:val="00FD63E4"/>
    <w:rsid w:val="00FD710E"/>
    <w:rsid w:val="00FE00CB"/>
    <w:rsid w:val="00FE09E6"/>
    <w:rsid w:val="00FE24BA"/>
    <w:rsid w:val="00FE277E"/>
    <w:rsid w:val="00FE38BE"/>
    <w:rsid w:val="00FE3FD5"/>
    <w:rsid w:val="00FE5B99"/>
    <w:rsid w:val="00FE63F6"/>
    <w:rsid w:val="00FE731A"/>
    <w:rsid w:val="00FE7C89"/>
    <w:rsid w:val="00FF4296"/>
    <w:rsid w:val="00FF4DD0"/>
    <w:rsid w:val="00FF5229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ED32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gkelc">
    <w:name w:val="hgkelc"/>
    <w:basedOn w:val="Carpredefinitoparagrafo"/>
    <w:rsid w:val="00553AFF"/>
  </w:style>
  <w:style w:type="paragraph" w:styleId="NormaleWeb">
    <w:name w:val="Normal (Web)"/>
    <w:basedOn w:val="Normale"/>
    <w:uiPriority w:val="99"/>
    <w:semiHidden/>
    <w:unhideWhenUsed/>
    <w:rsid w:val="00C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2E1F61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A5362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7118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iamo-ssn.it/7-rapporto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salviamo-ssn.it/salviamo-ssn/piano-di-rilancio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salviamo-ssn.it/var/contenuti/7_Rapporto_GIMBE_SSN_Messaggio_Presidente_Mattarella.pdf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62FA-C92F-4DC4-B495-A2E01839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Luca Bellusci</cp:lastModifiedBy>
  <cp:revision>13</cp:revision>
  <cp:lastPrinted>2014-01-27T14:53:00Z</cp:lastPrinted>
  <dcterms:created xsi:type="dcterms:W3CDTF">2024-10-05T11:52:00Z</dcterms:created>
  <dcterms:modified xsi:type="dcterms:W3CDTF">2024-10-08T10:02:00Z</dcterms:modified>
</cp:coreProperties>
</file>